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4" w:type="dxa"/>
        <w:tblCellSpacing w:w="0" w:type="dxa"/>
        <w:tblCellMar>
          <w:left w:w="0" w:type="dxa"/>
          <w:right w:w="0" w:type="dxa"/>
        </w:tblCellMar>
        <w:tblLook w:val="04A0"/>
      </w:tblPr>
      <w:tblGrid>
        <w:gridCol w:w="919"/>
        <w:gridCol w:w="1837"/>
        <w:gridCol w:w="918"/>
        <w:gridCol w:w="1929"/>
        <w:gridCol w:w="918"/>
        <w:gridCol w:w="2663"/>
      </w:tblGrid>
      <w:tr w:rsidR="00A34A20" w:rsidRPr="00A34A20" w:rsidTr="00A34A20">
        <w:trPr>
          <w:tblCellSpacing w:w="0" w:type="dxa"/>
        </w:trPr>
        <w:tc>
          <w:tcPr>
            <w:tcW w:w="500" w:type="pct"/>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b/>
                <w:bCs/>
                <w:color w:val="4B4B4B"/>
                <w:kern w:val="0"/>
                <w:sz w:val="16"/>
                <w:szCs w:val="16"/>
              </w:rPr>
            </w:pPr>
            <w:r w:rsidRPr="00A34A20">
              <w:rPr>
                <w:rFonts w:ascii="&amp;quot" w:eastAsia="宋体" w:hAnsi="&amp;quot" w:cs="宋体"/>
                <w:b/>
                <w:bCs/>
                <w:color w:val="4B4B4B"/>
                <w:kern w:val="0"/>
                <w:sz w:val="16"/>
                <w:szCs w:val="16"/>
              </w:rPr>
              <w:t>信息名称：</w:t>
            </w:r>
          </w:p>
        </w:tc>
        <w:tc>
          <w:tcPr>
            <w:tcW w:w="0" w:type="auto"/>
            <w:gridSpan w:val="5"/>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color w:val="4B4B4B"/>
                <w:kern w:val="0"/>
                <w:sz w:val="16"/>
                <w:szCs w:val="16"/>
              </w:rPr>
            </w:pPr>
            <w:r w:rsidRPr="00A34A20">
              <w:rPr>
                <w:rFonts w:ascii="&amp;quot" w:eastAsia="宋体" w:hAnsi="&amp;quot" w:cs="宋体"/>
                <w:color w:val="4B4B4B"/>
                <w:kern w:val="0"/>
                <w:sz w:val="16"/>
                <w:szCs w:val="16"/>
              </w:rPr>
              <w:t>高等学校实验室工作规程</w:t>
            </w:r>
          </w:p>
        </w:tc>
      </w:tr>
      <w:tr w:rsidR="00A34A20" w:rsidRPr="00A34A20" w:rsidTr="00A34A20">
        <w:trPr>
          <w:tblCellSpacing w:w="0" w:type="dxa"/>
        </w:trPr>
        <w:tc>
          <w:tcPr>
            <w:tcW w:w="500" w:type="pct"/>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b/>
                <w:bCs/>
                <w:color w:val="4B4B4B"/>
                <w:kern w:val="0"/>
                <w:sz w:val="16"/>
                <w:szCs w:val="16"/>
              </w:rPr>
            </w:pPr>
            <w:r w:rsidRPr="00A34A20">
              <w:rPr>
                <w:rFonts w:ascii="&amp;quot" w:eastAsia="宋体" w:hAnsi="&amp;quot" w:cs="宋体"/>
                <w:b/>
                <w:bCs/>
                <w:color w:val="4B4B4B"/>
                <w:kern w:val="0"/>
                <w:sz w:val="16"/>
                <w:szCs w:val="16"/>
              </w:rPr>
              <w:t>信息索引：</w:t>
            </w:r>
          </w:p>
        </w:tc>
        <w:tc>
          <w:tcPr>
            <w:tcW w:w="1000" w:type="pct"/>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color w:val="4B4B4B"/>
                <w:kern w:val="0"/>
                <w:sz w:val="16"/>
                <w:szCs w:val="16"/>
              </w:rPr>
            </w:pPr>
            <w:r w:rsidRPr="00A34A20">
              <w:rPr>
                <w:rFonts w:ascii="&amp;quot" w:eastAsia="宋体" w:hAnsi="&amp;quot" w:cs="宋体"/>
                <w:color w:val="4B4B4B"/>
                <w:kern w:val="0"/>
                <w:sz w:val="16"/>
                <w:szCs w:val="16"/>
              </w:rPr>
              <w:t>360A02-03-1992-0001-1</w:t>
            </w:r>
          </w:p>
        </w:tc>
        <w:tc>
          <w:tcPr>
            <w:tcW w:w="500" w:type="pct"/>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b/>
                <w:bCs/>
                <w:color w:val="4B4B4B"/>
                <w:kern w:val="0"/>
                <w:sz w:val="16"/>
                <w:szCs w:val="16"/>
              </w:rPr>
            </w:pPr>
            <w:r w:rsidRPr="00A34A20">
              <w:rPr>
                <w:rFonts w:ascii="&amp;quot" w:eastAsia="宋体" w:hAnsi="&amp;quot" w:cs="宋体"/>
                <w:b/>
                <w:bCs/>
                <w:color w:val="4B4B4B"/>
                <w:kern w:val="0"/>
                <w:sz w:val="16"/>
                <w:szCs w:val="16"/>
              </w:rPr>
              <w:t>生成日期：</w:t>
            </w:r>
          </w:p>
        </w:tc>
        <w:tc>
          <w:tcPr>
            <w:tcW w:w="1050" w:type="pct"/>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color w:val="4B4B4B"/>
                <w:kern w:val="0"/>
                <w:sz w:val="16"/>
                <w:szCs w:val="16"/>
              </w:rPr>
            </w:pPr>
            <w:r w:rsidRPr="00A34A20">
              <w:rPr>
                <w:rFonts w:ascii="&amp;quot" w:eastAsia="宋体" w:hAnsi="&amp;quot" w:cs="宋体"/>
                <w:color w:val="4B4B4B"/>
                <w:kern w:val="0"/>
                <w:sz w:val="16"/>
                <w:szCs w:val="16"/>
              </w:rPr>
              <w:t>1992-06-27</w:t>
            </w:r>
          </w:p>
        </w:tc>
        <w:tc>
          <w:tcPr>
            <w:tcW w:w="500" w:type="pct"/>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b/>
                <w:bCs/>
                <w:color w:val="4B4B4B"/>
                <w:kern w:val="0"/>
                <w:sz w:val="16"/>
                <w:szCs w:val="16"/>
              </w:rPr>
            </w:pPr>
            <w:r w:rsidRPr="00A34A20">
              <w:rPr>
                <w:rFonts w:ascii="&amp;quot" w:eastAsia="宋体" w:hAnsi="&amp;quot" w:cs="宋体"/>
                <w:b/>
                <w:bCs/>
                <w:color w:val="4B4B4B"/>
                <w:kern w:val="0"/>
                <w:sz w:val="16"/>
                <w:szCs w:val="16"/>
              </w:rPr>
              <w:t>发文机构：</w:t>
            </w:r>
          </w:p>
        </w:tc>
        <w:tc>
          <w:tcPr>
            <w:tcW w:w="1700" w:type="pct"/>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color w:val="4B4B4B"/>
                <w:kern w:val="0"/>
                <w:sz w:val="16"/>
                <w:szCs w:val="16"/>
              </w:rPr>
            </w:pPr>
            <w:r w:rsidRPr="00A34A20">
              <w:rPr>
                <w:rFonts w:ascii="&amp;quot" w:eastAsia="宋体" w:hAnsi="&amp;quot" w:cs="宋体"/>
                <w:color w:val="4B4B4B"/>
                <w:kern w:val="0"/>
                <w:sz w:val="16"/>
                <w:szCs w:val="16"/>
              </w:rPr>
              <w:t>国家教委</w:t>
            </w:r>
          </w:p>
        </w:tc>
      </w:tr>
      <w:tr w:rsidR="00A34A20" w:rsidRPr="00A34A20" w:rsidTr="00A34A20">
        <w:trPr>
          <w:tblCellSpacing w:w="0" w:type="dxa"/>
        </w:trPr>
        <w:tc>
          <w:tcPr>
            <w:tcW w:w="500" w:type="pct"/>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b/>
                <w:bCs/>
                <w:color w:val="4B4B4B"/>
                <w:kern w:val="0"/>
                <w:sz w:val="16"/>
                <w:szCs w:val="16"/>
              </w:rPr>
            </w:pPr>
            <w:r w:rsidRPr="00A34A20">
              <w:rPr>
                <w:rFonts w:ascii="&amp;quot" w:eastAsia="宋体" w:hAnsi="&amp;quot" w:cs="宋体"/>
                <w:b/>
                <w:bCs/>
                <w:color w:val="4B4B4B"/>
                <w:kern w:val="0"/>
                <w:sz w:val="16"/>
                <w:szCs w:val="16"/>
              </w:rPr>
              <w:t>发文字号：</w:t>
            </w:r>
          </w:p>
        </w:tc>
        <w:tc>
          <w:tcPr>
            <w:tcW w:w="0" w:type="auto"/>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color w:val="4B4B4B"/>
                <w:kern w:val="0"/>
                <w:sz w:val="16"/>
                <w:szCs w:val="16"/>
              </w:rPr>
            </w:pPr>
            <w:r w:rsidRPr="00A34A20">
              <w:rPr>
                <w:rFonts w:ascii="&amp;quot" w:eastAsia="宋体" w:hAnsi="&amp;quot" w:cs="宋体"/>
                <w:color w:val="4B4B4B"/>
                <w:kern w:val="0"/>
                <w:sz w:val="16"/>
                <w:szCs w:val="16"/>
              </w:rPr>
              <w:t>教育委员会令第</w:t>
            </w:r>
            <w:r w:rsidRPr="00A34A20">
              <w:rPr>
                <w:rFonts w:ascii="&amp;quot" w:eastAsia="宋体" w:hAnsi="&amp;quot" w:cs="宋体"/>
                <w:color w:val="4B4B4B"/>
                <w:kern w:val="0"/>
                <w:sz w:val="16"/>
                <w:szCs w:val="16"/>
              </w:rPr>
              <w:t>20</w:t>
            </w:r>
            <w:r w:rsidRPr="00A34A20">
              <w:rPr>
                <w:rFonts w:ascii="&amp;quot" w:eastAsia="宋体" w:hAnsi="&amp;quot" w:cs="宋体"/>
                <w:color w:val="4B4B4B"/>
                <w:kern w:val="0"/>
                <w:sz w:val="16"/>
                <w:szCs w:val="16"/>
              </w:rPr>
              <w:t>号</w:t>
            </w:r>
          </w:p>
        </w:tc>
        <w:tc>
          <w:tcPr>
            <w:tcW w:w="500" w:type="pct"/>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b/>
                <w:bCs/>
                <w:color w:val="4B4B4B"/>
                <w:kern w:val="0"/>
                <w:sz w:val="16"/>
                <w:szCs w:val="16"/>
              </w:rPr>
            </w:pPr>
            <w:r w:rsidRPr="00A34A20">
              <w:rPr>
                <w:rFonts w:ascii="&amp;quot" w:eastAsia="宋体" w:hAnsi="&amp;quot" w:cs="宋体"/>
                <w:b/>
                <w:bCs/>
                <w:color w:val="4B4B4B"/>
                <w:kern w:val="0"/>
                <w:sz w:val="16"/>
                <w:szCs w:val="16"/>
              </w:rPr>
              <w:t>信息类别：</w:t>
            </w:r>
          </w:p>
        </w:tc>
        <w:tc>
          <w:tcPr>
            <w:tcW w:w="0" w:type="auto"/>
            <w:gridSpan w:val="3"/>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color w:val="4B4B4B"/>
                <w:kern w:val="0"/>
                <w:sz w:val="16"/>
                <w:szCs w:val="16"/>
              </w:rPr>
            </w:pPr>
            <w:r w:rsidRPr="00A34A20">
              <w:rPr>
                <w:rFonts w:ascii="&amp;quot" w:eastAsia="宋体" w:hAnsi="&amp;quot" w:cs="宋体"/>
                <w:color w:val="4B4B4B"/>
                <w:kern w:val="0"/>
                <w:sz w:val="16"/>
                <w:szCs w:val="16"/>
              </w:rPr>
              <w:t>部门规章</w:t>
            </w:r>
          </w:p>
        </w:tc>
      </w:tr>
      <w:tr w:rsidR="00A34A20" w:rsidRPr="00A34A20" w:rsidTr="00A34A20">
        <w:trPr>
          <w:tblCellSpacing w:w="0" w:type="dxa"/>
        </w:trPr>
        <w:tc>
          <w:tcPr>
            <w:tcW w:w="500" w:type="pct"/>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b/>
                <w:bCs/>
                <w:color w:val="4B4B4B"/>
                <w:kern w:val="0"/>
                <w:sz w:val="16"/>
                <w:szCs w:val="16"/>
              </w:rPr>
            </w:pPr>
            <w:r w:rsidRPr="00A34A20">
              <w:rPr>
                <w:rFonts w:ascii="&amp;quot" w:eastAsia="宋体" w:hAnsi="&amp;quot" w:cs="宋体"/>
                <w:b/>
                <w:bCs/>
                <w:color w:val="4B4B4B"/>
                <w:kern w:val="0"/>
                <w:sz w:val="16"/>
                <w:szCs w:val="16"/>
              </w:rPr>
              <w:t>内容概述：</w:t>
            </w:r>
          </w:p>
        </w:tc>
        <w:tc>
          <w:tcPr>
            <w:tcW w:w="0" w:type="auto"/>
            <w:gridSpan w:val="5"/>
            <w:tcBorders>
              <w:top w:val="nil"/>
              <w:left w:val="nil"/>
              <w:bottom w:val="nil"/>
              <w:right w:val="nil"/>
            </w:tcBorders>
            <w:hideMark/>
          </w:tcPr>
          <w:p w:rsidR="00A34A20" w:rsidRPr="00A34A20" w:rsidRDefault="00A34A20" w:rsidP="00A34A20">
            <w:pPr>
              <w:widowControl/>
              <w:spacing w:line="283" w:lineRule="atLeast"/>
              <w:jc w:val="left"/>
              <w:rPr>
                <w:rFonts w:ascii="&amp;quot" w:eastAsia="宋体" w:hAnsi="&amp;quot" w:cs="宋体"/>
                <w:color w:val="4B4B4B"/>
                <w:kern w:val="0"/>
                <w:sz w:val="16"/>
                <w:szCs w:val="16"/>
              </w:rPr>
            </w:pPr>
            <w:r w:rsidRPr="00A34A20">
              <w:rPr>
                <w:rFonts w:ascii="&amp;quot" w:eastAsia="宋体" w:hAnsi="&amp;quot" w:cs="宋体"/>
                <w:color w:val="4B4B4B"/>
                <w:kern w:val="0"/>
                <w:sz w:val="16"/>
                <w:szCs w:val="16"/>
              </w:rPr>
              <w:t>国家教委</w:t>
            </w:r>
            <w:r w:rsidRPr="00A34A20">
              <w:rPr>
                <w:rFonts w:ascii="&amp;quot" w:eastAsia="宋体" w:hAnsi="&amp;quot" w:cs="宋体"/>
                <w:color w:val="4B4B4B"/>
                <w:kern w:val="0"/>
                <w:sz w:val="16"/>
                <w:szCs w:val="16"/>
              </w:rPr>
              <w:t>1992</w:t>
            </w:r>
            <w:r w:rsidRPr="00A34A20">
              <w:rPr>
                <w:rFonts w:ascii="&amp;quot" w:eastAsia="宋体" w:hAnsi="&amp;quot" w:cs="宋体"/>
                <w:color w:val="4B4B4B"/>
                <w:kern w:val="0"/>
                <w:sz w:val="16"/>
                <w:szCs w:val="16"/>
              </w:rPr>
              <w:t>年</w:t>
            </w:r>
            <w:r w:rsidRPr="00A34A20">
              <w:rPr>
                <w:rFonts w:ascii="&amp;quot" w:eastAsia="宋体" w:hAnsi="&amp;quot" w:cs="宋体"/>
                <w:color w:val="4B4B4B"/>
                <w:kern w:val="0"/>
                <w:sz w:val="16"/>
                <w:szCs w:val="16"/>
              </w:rPr>
              <w:t>6</w:t>
            </w:r>
            <w:r w:rsidRPr="00A34A20">
              <w:rPr>
                <w:rFonts w:ascii="&amp;quot" w:eastAsia="宋体" w:hAnsi="&amp;quot" w:cs="宋体"/>
                <w:color w:val="4B4B4B"/>
                <w:kern w:val="0"/>
                <w:sz w:val="16"/>
                <w:szCs w:val="16"/>
              </w:rPr>
              <w:t>月</w:t>
            </w:r>
            <w:r w:rsidRPr="00A34A20">
              <w:rPr>
                <w:rFonts w:ascii="&amp;quot" w:eastAsia="宋体" w:hAnsi="&amp;quot" w:cs="宋体"/>
                <w:color w:val="4B4B4B"/>
                <w:kern w:val="0"/>
                <w:sz w:val="16"/>
                <w:szCs w:val="16"/>
              </w:rPr>
              <w:t>27</w:t>
            </w:r>
            <w:r w:rsidRPr="00A34A20">
              <w:rPr>
                <w:rFonts w:ascii="&amp;quot" w:eastAsia="宋体" w:hAnsi="&amp;quot" w:cs="宋体"/>
                <w:color w:val="4B4B4B"/>
                <w:kern w:val="0"/>
                <w:sz w:val="16"/>
                <w:szCs w:val="16"/>
              </w:rPr>
              <w:t>日发布的部门规章，规定了高等学校实验室的任务、建设、体制、管理人员等。</w:t>
            </w:r>
          </w:p>
        </w:tc>
      </w:tr>
    </w:tbl>
    <w:p w:rsidR="00A34A20" w:rsidRPr="00A34A20" w:rsidRDefault="00A34A20" w:rsidP="00A34A20">
      <w:pPr>
        <w:widowControl/>
        <w:jc w:val="center"/>
        <w:outlineLvl w:val="0"/>
        <w:rPr>
          <w:rFonts w:ascii="&amp;quot" w:eastAsia="宋体" w:hAnsi="&amp;quot" w:cs="宋体"/>
          <w:b/>
          <w:bCs/>
          <w:color w:val="4B4B4B"/>
          <w:kern w:val="36"/>
          <w:sz w:val="23"/>
          <w:szCs w:val="23"/>
        </w:rPr>
      </w:pPr>
      <w:r w:rsidRPr="00A34A20">
        <w:rPr>
          <w:rFonts w:ascii="&amp;quot" w:eastAsia="宋体" w:hAnsi="&amp;quot" w:cs="宋体"/>
          <w:b/>
          <w:bCs/>
          <w:color w:val="4B4B4B"/>
          <w:kern w:val="36"/>
          <w:sz w:val="23"/>
          <w:szCs w:val="23"/>
        </w:rPr>
        <w:t>高等学校实验室工作规程</w:t>
      </w:r>
    </w:p>
    <w:p w:rsidR="00A34A20" w:rsidRPr="00A34A20" w:rsidRDefault="00A34A20" w:rsidP="00A34A20">
      <w:pPr>
        <w:widowControl/>
        <w:spacing w:line="363" w:lineRule="atLeast"/>
        <w:jc w:val="righ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教育委员会令第</w:t>
      </w:r>
      <w:r w:rsidRPr="00A34A20">
        <w:rPr>
          <w:rFonts w:ascii="&amp;quot" w:eastAsia="宋体" w:hAnsi="&amp;quot" w:cs="宋体"/>
          <w:color w:val="4B4B4B"/>
          <w:kern w:val="0"/>
          <w:sz w:val="18"/>
          <w:szCs w:val="18"/>
        </w:rPr>
        <w:t>20</w:t>
      </w:r>
      <w:r w:rsidRPr="00A34A20">
        <w:rPr>
          <w:rFonts w:ascii="&amp;quot" w:eastAsia="宋体" w:hAnsi="&amp;quot" w:cs="宋体"/>
          <w:color w:val="4B4B4B"/>
          <w:kern w:val="0"/>
          <w:sz w:val="18"/>
          <w:szCs w:val="18"/>
        </w:rPr>
        <w:t>号</w:t>
      </w:r>
    </w:p>
    <w:p w:rsidR="00A34A20" w:rsidRPr="00A34A20" w:rsidRDefault="00A34A20" w:rsidP="00A34A20">
      <w:pPr>
        <w:widowControl/>
        <w:jc w:val="center"/>
        <w:outlineLvl w:val="2"/>
        <w:rPr>
          <w:rFonts w:ascii="&amp;quot" w:eastAsia="宋体" w:hAnsi="&amp;quot" w:cs="宋体"/>
          <w:b/>
          <w:bCs/>
          <w:color w:val="000000"/>
          <w:kern w:val="0"/>
          <w:sz w:val="27"/>
          <w:szCs w:val="27"/>
        </w:rPr>
      </w:pPr>
      <w:r w:rsidRPr="00A34A20">
        <w:rPr>
          <w:rFonts w:ascii="&amp;quot" w:eastAsia="宋体" w:hAnsi="&amp;quot" w:cs="宋体"/>
          <w:b/>
          <w:bCs/>
          <w:color w:val="000000"/>
          <w:kern w:val="0"/>
          <w:sz w:val="27"/>
          <w:szCs w:val="27"/>
          <w:bdr w:val="none" w:sz="0" w:space="0" w:color="auto" w:frame="1"/>
        </w:rPr>
        <w:t>高等学校实验室工作规程</w:t>
      </w:r>
    </w:p>
    <w:p w:rsidR="00A34A20" w:rsidRPr="00A34A20" w:rsidRDefault="00A34A20" w:rsidP="00A34A20">
      <w:pPr>
        <w:widowControl/>
        <w:spacing w:line="363" w:lineRule="atLeast"/>
        <w:jc w:val="center"/>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w:t>
      </w:r>
      <w:r w:rsidRPr="00A34A20">
        <w:rPr>
          <w:rFonts w:ascii="&amp;quot" w:eastAsia="宋体" w:hAnsi="&amp;quot" w:cs="宋体"/>
          <w:color w:val="4B4B4B"/>
          <w:kern w:val="0"/>
          <w:sz w:val="18"/>
          <w:szCs w:val="18"/>
          <w:bdr w:val="none" w:sz="0" w:space="0" w:color="auto" w:frame="1"/>
        </w:rPr>
        <w:t>1992</w:t>
      </w:r>
      <w:r w:rsidRPr="00A34A20">
        <w:rPr>
          <w:rFonts w:ascii="&amp;quot" w:eastAsia="宋体" w:hAnsi="&amp;quot" w:cs="宋体"/>
          <w:color w:val="4B4B4B"/>
          <w:kern w:val="0"/>
          <w:sz w:val="18"/>
          <w:szCs w:val="18"/>
          <w:bdr w:val="none" w:sz="0" w:space="0" w:color="auto" w:frame="1"/>
        </w:rPr>
        <w:t>年</w:t>
      </w:r>
      <w:r w:rsidRPr="00A34A20">
        <w:rPr>
          <w:rFonts w:ascii="&amp;quot" w:eastAsia="宋体" w:hAnsi="&amp;quot" w:cs="宋体"/>
          <w:color w:val="4B4B4B"/>
          <w:kern w:val="0"/>
          <w:sz w:val="18"/>
          <w:szCs w:val="18"/>
          <w:bdr w:val="none" w:sz="0" w:space="0" w:color="auto" w:frame="1"/>
        </w:rPr>
        <w:t>6</w:t>
      </w:r>
      <w:r w:rsidRPr="00A34A20">
        <w:rPr>
          <w:rFonts w:ascii="&amp;quot" w:eastAsia="宋体" w:hAnsi="&amp;quot" w:cs="宋体"/>
          <w:color w:val="4B4B4B"/>
          <w:kern w:val="0"/>
          <w:sz w:val="18"/>
          <w:szCs w:val="18"/>
          <w:bdr w:val="none" w:sz="0" w:space="0" w:color="auto" w:frame="1"/>
        </w:rPr>
        <w:t>月</w:t>
      </w:r>
      <w:r w:rsidRPr="00A34A20">
        <w:rPr>
          <w:rFonts w:ascii="&amp;quot" w:eastAsia="宋体" w:hAnsi="&amp;quot" w:cs="宋体"/>
          <w:color w:val="4B4B4B"/>
          <w:kern w:val="0"/>
          <w:sz w:val="18"/>
          <w:szCs w:val="18"/>
          <w:bdr w:val="none" w:sz="0" w:space="0" w:color="auto" w:frame="1"/>
        </w:rPr>
        <w:t>27</w:t>
      </w:r>
      <w:r w:rsidRPr="00A34A20">
        <w:rPr>
          <w:rFonts w:ascii="&amp;quot" w:eastAsia="宋体" w:hAnsi="&amp;quot" w:cs="宋体"/>
          <w:color w:val="4B4B4B"/>
          <w:kern w:val="0"/>
          <w:sz w:val="18"/>
          <w:szCs w:val="18"/>
          <w:bdr w:val="none" w:sz="0" w:space="0" w:color="auto" w:frame="1"/>
        </w:rPr>
        <w:t>日国家教育委员会令第</w:t>
      </w:r>
      <w:r w:rsidRPr="00A34A20">
        <w:rPr>
          <w:rFonts w:ascii="&amp;quot" w:eastAsia="宋体" w:hAnsi="&amp;quot" w:cs="宋体"/>
          <w:color w:val="4B4B4B"/>
          <w:kern w:val="0"/>
          <w:sz w:val="18"/>
          <w:szCs w:val="18"/>
          <w:bdr w:val="none" w:sz="0" w:space="0" w:color="auto" w:frame="1"/>
        </w:rPr>
        <w:t>20</w:t>
      </w:r>
      <w:r w:rsidRPr="00A34A20">
        <w:rPr>
          <w:rFonts w:ascii="&amp;quot" w:eastAsia="宋体" w:hAnsi="&amp;quot" w:cs="宋体"/>
          <w:color w:val="4B4B4B"/>
          <w:kern w:val="0"/>
          <w:sz w:val="18"/>
          <w:szCs w:val="18"/>
          <w:bdr w:val="none" w:sz="0" w:space="0" w:color="auto" w:frame="1"/>
        </w:rPr>
        <w:t>号发布）</w:t>
      </w:r>
      <w:r w:rsidRPr="00A34A20">
        <w:rPr>
          <w:rFonts w:ascii="&amp;quot" w:eastAsia="宋体" w:hAnsi="&amp;quot" w:cs="宋体"/>
          <w:b/>
          <w:bCs/>
          <w:color w:val="4B4B4B"/>
          <w:kern w:val="0"/>
          <w:sz w:val="18"/>
          <w:szCs w:val="18"/>
          <w:bdr w:val="none" w:sz="0" w:space="0" w:color="auto" w:frame="1"/>
        </w:rPr>
        <w:t> </w:t>
      </w:r>
    </w:p>
    <w:p w:rsidR="00A34A20" w:rsidRPr="00A34A20" w:rsidRDefault="00A34A20" w:rsidP="00A34A20">
      <w:pPr>
        <w:widowControl/>
        <w:spacing w:line="363" w:lineRule="atLeast"/>
        <w:jc w:val="center"/>
        <w:rPr>
          <w:rFonts w:ascii="&amp;quot" w:eastAsia="宋体" w:hAnsi="&amp;quot" w:cs="宋体"/>
          <w:color w:val="4B4B4B"/>
          <w:kern w:val="0"/>
          <w:sz w:val="18"/>
          <w:szCs w:val="18"/>
        </w:rPr>
      </w:pPr>
      <w:r w:rsidRPr="00A34A20">
        <w:rPr>
          <w:rFonts w:ascii="&amp;quot" w:eastAsia="宋体" w:hAnsi="&amp;quot" w:cs="宋体"/>
          <w:b/>
          <w:bCs/>
          <w:color w:val="4B4B4B"/>
          <w:kern w:val="0"/>
          <w:sz w:val="18"/>
          <w:szCs w:val="18"/>
          <w:bdr w:val="none" w:sz="0" w:space="0" w:color="auto" w:frame="1"/>
        </w:rPr>
        <w:t>第一章　总则</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第一条　为了加强高等学校实验室的建设和管理，保障学校的教育质量和科学研究水平，提高办学效益，特制定本规程。</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第二条　高等学校实验室（包括各种操作、训练室），是隶属学校或依托学校管理，从事实验教学或科学研究、生产试验、技术开发的教学或科研实体。</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第三条　高等学校实验室，必须努力贯彻国家的教育方针，保证完成实验教学任务，不断提高实验教学水平；根据需要与可能，积极开展科学研究、生产试验和技术开发工作，为经济建设与社会发展服务。</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第四条　实验室的建设，要从实际出发，统筹规划，合理设置。要做到建筑设施、仪器设备、技术队伍与科学管理协调发展，提高投资效益。</w:t>
      </w:r>
    </w:p>
    <w:p w:rsidR="00A34A20" w:rsidRPr="00A34A20" w:rsidRDefault="00A34A20" w:rsidP="00A34A20">
      <w:pPr>
        <w:widowControl/>
        <w:spacing w:line="363" w:lineRule="atLeast"/>
        <w:jc w:val="center"/>
        <w:rPr>
          <w:rFonts w:ascii="&amp;quot" w:eastAsia="宋体" w:hAnsi="&amp;quot" w:cs="宋体"/>
          <w:color w:val="4B4B4B"/>
          <w:kern w:val="0"/>
          <w:sz w:val="18"/>
          <w:szCs w:val="18"/>
        </w:rPr>
      </w:pPr>
      <w:r w:rsidRPr="00A34A20">
        <w:rPr>
          <w:rFonts w:ascii="&amp;quot" w:eastAsia="宋体" w:hAnsi="&amp;quot" w:cs="宋体"/>
          <w:b/>
          <w:bCs/>
          <w:color w:val="4B4B4B"/>
          <w:kern w:val="0"/>
          <w:sz w:val="18"/>
          <w:szCs w:val="18"/>
          <w:bdr w:val="none" w:sz="0" w:space="0" w:color="auto" w:frame="1"/>
        </w:rPr>
        <w:t>第二章　任务</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第五条　根据学校教学计划承担实验教学任务。实验室完善实验指导书、实验教材教学资料，安排实验指导人员，保证完成实验教学任务。</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第六条　努力提高实验教学质量。实验室应当吸收科学和教学的新成果，更新实验内容，改革教学方法，通过实验培养学生理论联系实际的学风，严谨的科学态度和分析问题、解决问题的能力。</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第七条　根据承担的科研任务，积极开展科学实验工作。努力提高实验技术，完善技术条件和工作环境，以保障高效率、高水平地完成科学实验任务。</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第八条　实验室在保证完成教学科研任务的前提下，积极开展社会服务和技术开发，开展学术、技术交流活动。</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第九条　完成仪器设备的管理、维修、计量及标定工作，使仪器设备经常处于完好状态。开展实验装置的研究和自制工作。</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第十条　严格执行实验室工作的各项规范，加强对工作人员的培训和管理。</w:t>
      </w:r>
    </w:p>
    <w:p w:rsidR="00A34A20" w:rsidRPr="00A34A20" w:rsidRDefault="00A34A20" w:rsidP="00A34A20">
      <w:pPr>
        <w:widowControl/>
        <w:spacing w:line="363" w:lineRule="atLeast"/>
        <w:jc w:val="center"/>
        <w:rPr>
          <w:rFonts w:ascii="&amp;quot" w:eastAsia="宋体" w:hAnsi="&amp;quot" w:cs="宋体"/>
          <w:color w:val="4B4B4B"/>
          <w:kern w:val="0"/>
          <w:sz w:val="18"/>
          <w:szCs w:val="18"/>
        </w:rPr>
      </w:pPr>
      <w:r w:rsidRPr="00A34A20">
        <w:rPr>
          <w:rFonts w:ascii="&amp;quot" w:eastAsia="宋体" w:hAnsi="&amp;quot" w:cs="宋体"/>
          <w:b/>
          <w:bCs/>
          <w:color w:val="4B4B4B"/>
          <w:kern w:val="0"/>
          <w:sz w:val="18"/>
          <w:szCs w:val="18"/>
          <w:bdr w:val="none" w:sz="0" w:space="0" w:color="auto" w:frame="1"/>
        </w:rPr>
        <w:t>第三章　建</w:t>
      </w:r>
      <w:r w:rsidRPr="00A34A20">
        <w:rPr>
          <w:rFonts w:ascii="&amp;quot" w:eastAsia="宋体" w:hAnsi="&amp;quot" w:cs="宋体"/>
          <w:b/>
          <w:bCs/>
          <w:color w:val="4B4B4B"/>
          <w:kern w:val="0"/>
          <w:sz w:val="18"/>
          <w:szCs w:val="18"/>
          <w:bdr w:val="none" w:sz="0" w:space="0" w:color="auto" w:frame="1"/>
        </w:rPr>
        <w:t> </w:t>
      </w:r>
      <w:r w:rsidRPr="00A34A20">
        <w:rPr>
          <w:rFonts w:ascii="&amp;quot" w:eastAsia="宋体" w:hAnsi="&amp;quot" w:cs="宋体"/>
          <w:b/>
          <w:bCs/>
          <w:color w:val="4B4B4B"/>
          <w:kern w:val="0"/>
          <w:sz w:val="18"/>
          <w:szCs w:val="18"/>
          <w:bdr w:val="none" w:sz="0" w:space="0" w:color="auto" w:frame="1"/>
        </w:rPr>
        <w:t>设</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第十一条　高等学校实验室的设置，应当具备以下基本条件：</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（一）有稳定的学科发展方向和饱满的实验教学或科研、技术开发等项任务；</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（二）有符合实验技术工作要求的房舍、设施及环境；</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（三）有足够数量、配套的仪器设备；</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（四）有合格的实验室主任和一定数量的专职工作人员；</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（五）有科学的工作规范和完善的管理制度。</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第十二条　实验室建设、调整与撤销，必须经学校正式批准。依托在高等学校中的部门开放实验室、国家重点实验室的建设、调整与撤销，要经过的上级主管部门批准。</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lastRenderedPageBreak/>
        <w:t xml:space="preserve">　　第十三条　实验室的建设与发展规划，要纳入学校及事业总体发展规划，要考虑环境、设施、仪器设备、人员结构、经费投入等综合配套因素，按照立项、论证、实施、监督、竣工、验收、效益考核等</w:t>
      </w:r>
      <w:r w:rsidRPr="00A34A20">
        <w:rPr>
          <w:rFonts w:ascii="&amp;quot" w:eastAsia="宋体" w:hAnsi="&amp;quot" w:cs="宋体"/>
          <w:color w:val="4B4B4B"/>
          <w:kern w:val="0"/>
          <w:sz w:val="18"/>
          <w:szCs w:val="18"/>
        </w:rPr>
        <w:t>“</w:t>
      </w:r>
      <w:r w:rsidRPr="00A34A20">
        <w:rPr>
          <w:rFonts w:ascii="&amp;quot" w:eastAsia="宋体" w:hAnsi="&amp;quot" w:cs="宋体"/>
          <w:color w:val="4B4B4B"/>
          <w:kern w:val="0"/>
          <w:sz w:val="18"/>
          <w:szCs w:val="18"/>
        </w:rPr>
        <w:t>项目管理</w:t>
      </w:r>
      <w:r w:rsidRPr="00A34A20">
        <w:rPr>
          <w:rFonts w:ascii="&amp;quot" w:eastAsia="宋体" w:hAnsi="&amp;quot" w:cs="宋体"/>
          <w:color w:val="4B4B4B"/>
          <w:kern w:val="0"/>
          <w:sz w:val="18"/>
          <w:szCs w:val="18"/>
        </w:rPr>
        <w:t>”</w:t>
      </w:r>
      <w:r w:rsidRPr="00A34A20">
        <w:rPr>
          <w:rFonts w:ascii="&amp;quot" w:eastAsia="宋体" w:hAnsi="&amp;quot" w:cs="宋体"/>
          <w:color w:val="4B4B4B"/>
          <w:kern w:val="0"/>
          <w:sz w:val="18"/>
          <w:szCs w:val="18"/>
        </w:rPr>
        <w:t>办法的程序，由学校或上级主管部门统一归口，全面规划。</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第十四条　实验室的建设要按计划进行。其中，房舍、设施及大型设备要依据规划的方案纳入学校基本建设计划；一般仪器设备和运行、维修费要纳入学校财务计划；工作人员的配备与结构调整要纳入学校人事计划。</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第十五条　实验室建设经费、要采取多渠道集资的办法。要从教育事业费、基建费、科研费、计划外收入、各种基金中划出一定比例用于实验室建设。凡利用实验室进行有偿服务的，都要将收入的一部分用于实验室建设。</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第十六条　有条件的高等学校要积极申请筹建开放型的国家重点实验室、重点学科实验室或工程研究中心等实验室，以适应高科技发展和高层次人才培养的需要。</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第十七条　高等学校应通过校际间联合，共同筹建专业实验室或中心实验室。也可以同厂企业、科研单位联合，或引进外资，利用国外先进技术设备，建立对外开放的实验室。</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第十八条　凡具备法人条件的高等学校实验室，经有关部门的批准，可取得法人资格。</w:t>
      </w:r>
    </w:p>
    <w:p w:rsidR="00A34A20" w:rsidRPr="00A34A20" w:rsidRDefault="00A34A20" w:rsidP="00A34A20">
      <w:pPr>
        <w:widowControl/>
        <w:spacing w:line="363" w:lineRule="atLeast"/>
        <w:jc w:val="center"/>
        <w:rPr>
          <w:rFonts w:ascii="&amp;quot" w:eastAsia="宋体" w:hAnsi="&amp;quot" w:cs="宋体"/>
          <w:color w:val="4B4B4B"/>
          <w:kern w:val="0"/>
          <w:sz w:val="18"/>
          <w:szCs w:val="18"/>
        </w:rPr>
      </w:pPr>
      <w:r w:rsidRPr="00A34A20">
        <w:rPr>
          <w:rFonts w:ascii="&amp;quot" w:eastAsia="宋体" w:hAnsi="&amp;quot" w:cs="宋体"/>
          <w:b/>
          <w:bCs/>
          <w:color w:val="4B4B4B"/>
          <w:kern w:val="0"/>
          <w:sz w:val="18"/>
          <w:szCs w:val="18"/>
          <w:bdr w:val="none" w:sz="0" w:space="0" w:color="auto" w:frame="1"/>
        </w:rPr>
        <w:t>第四章　体制</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第十九条　高等学校实验室工作，由国家教育委员会归口管理。省、自治区、直辖市、国务院有关部委的教育主管部门负责本地区或本系统高等学校实验室工作。</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第二十条　高等学校应有一名（院）长主管全校实验室工作并建立或确定主管实验室工作的行政机构（处、科）。该机构的主要职责是：</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（一）贯彻执行国家有关的方针、政策和法令，结合实验室工作的实际，拟定本规程的实施办法；</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（二）检查督促各实验室完成各项工作任务；</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（三）组织制定和实施实验室建设规划和年度计划，归口拟定并审查仪器设备配备方案，负责分配实验室建设的仪器设备运行经费，并进行投资效益评估；</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（四）完善实验室管理制度。包括：实验教学、科研、社会服务情况的审核评估制度；实验室工作人员的任用、管理制度；实验室在用物资的管理制度；经费使用制度等；</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（五）主管实验室仪器设备、材料等物资，提高其使用效益；</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（六）主管实验室队伍建设。与人事部门一起做好实验室人员定编、岗位培训、考核、奖惩、晋级职务评聘工作。</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规模较大的高校，系一级也可设立相应的实验室管理岗位或机构。</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第二十一条　高等学校实验室逐步实行以校、系管理为主的二级管理。规模较大、师资与技术力量较强的高校、也可实行校、系、教研室三级管理。</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第二十二条　实验室实行主任负责制。高等学校实验室主任负责实验室的全面工作。　　　　　　　　　　</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第二十三条　高等学校可根据需要设立实验室工作委员会，由主管校长、有关部门行政负责人和学术、技术、管理等方面的专家组成。对实验室建设、高档仪器设备布局科学管理、人员培训等重大问题进行研究、咨询，提出建议。</w:t>
      </w:r>
      <w:r w:rsidRPr="00A34A20">
        <w:rPr>
          <w:rFonts w:ascii="&amp;quot" w:eastAsia="宋体" w:hAnsi="&amp;quot" w:cs="宋体"/>
          <w:color w:val="4B4B4B"/>
          <w:kern w:val="0"/>
          <w:sz w:val="18"/>
          <w:szCs w:val="18"/>
        </w:rPr>
        <w:t> </w:t>
      </w:r>
    </w:p>
    <w:p w:rsidR="00A34A20" w:rsidRPr="00A34A20" w:rsidRDefault="00A34A20" w:rsidP="00A34A20">
      <w:pPr>
        <w:widowControl/>
        <w:spacing w:line="363" w:lineRule="atLeast"/>
        <w:jc w:val="center"/>
        <w:rPr>
          <w:rFonts w:ascii="&amp;quot" w:eastAsia="宋体" w:hAnsi="&amp;quot" w:cs="宋体"/>
          <w:color w:val="4B4B4B"/>
          <w:kern w:val="0"/>
          <w:sz w:val="18"/>
          <w:szCs w:val="18"/>
        </w:rPr>
      </w:pPr>
      <w:r w:rsidRPr="00A34A20">
        <w:rPr>
          <w:rFonts w:ascii="&amp;quot" w:eastAsia="宋体" w:hAnsi="&amp;quot" w:cs="宋体"/>
          <w:b/>
          <w:bCs/>
          <w:color w:val="4B4B4B"/>
          <w:kern w:val="0"/>
          <w:sz w:val="18"/>
          <w:szCs w:val="18"/>
          <w:bdr w:val="none" w:sz="0" w:space="0" w:color="auto" w:frame="1"/>
        </w:rPr>
        <w:t>第五章　管理</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第二十四条　实验室要做好工作环境管理和劳动保护工作。要针对高温、低温、辐射、病菌、毒性、激光、粉尘、超净等对人体有害的环境，切实加强实验室环境的监督和劳动保护工作。凡经技术安全的环</w:t>
      </w:r>
      <w:r w:rsidRPr="00A34A20">
        <w:rPr>
          <w:rFonts w:ascii="&amp;quot" w:eastAsia="宋体" w:hAnsi="&amp;quot" w:cs="宋体"/>
          <w:color w:val="4B4B4B"/>
          <w:kern w:val="0"/>
          <w:sz w:val="18"/>
          <w:szCs w:val="18"/>
        </w:rPr>
        <w:lastRenderedPageBreak/>
        <w:t>境保护部门检查认定不合格的实验室，要停止使用，限期进行技术改造，落实管理工作。待重新通过检查合格后，才能投入使用。</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第二十五条　实验室要严格遵守国务院颁发的《化学危险品安全管理条例》及《中华人民共和国保守国家秘密法》等有关安全保密的法规的制度，定期检查防火、防爆、防盗、防事故等方面安全措施的落实情况。要经常对师生开展安全保密教育，切实保障人身和财产安全。</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第二十六条　实验室要严格遵守国家环境保护工作的有关规定，不随意排放废气、废水、废物、不得污染环境。</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第二十七条　实验室仪器设备的材料、低值易耗品等物资的管理，按照《高等学校仪器设备管理办法》、《高等学校材料、低值易耗品管理办法》、《高等学校物资工作的若干规定》等有关法规、规章执行。</w:t>
      </w:r>
      <w:r w:rsidRPr="00A34A20">
        <w:rPr>
          <w:rFonts w:ascii="&amp;quot" w:eastAsia="宋体" w:hAnsi="&amp;quot" w:cs="宋体"/>
          <w:color w:val="4B4B4B"/>
          <w:kern w:val="0"/>
          <w:sz w:val="18"/>
          <w:szCs w:val="18"/>
        </w:rPr>
        <w:t> </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第二十八条　实验室所需要的实验动物，要按照国家科委发布的《实验动物管理条例》</w:t>
      </w:r>
      <w:r w:rsidRPr="00A34A20">
        <w:rPr>
          <w:rFonts w:ascii="&amp;quot" w:eastAsia="宋体" w:hAnsi="&amp;quot" w:cs="宋体"/>
          <w:color w:val="4B4B4B"/>
          <w:kern w:val="0"/>
          <w:sz w:val="18"/>
          <w:szCs w:val="18"/>
          <w:bdr w:val="none" w:sz="0" w:space="0" w:color="auto" w:frame="1"/>
        </w:rPr>
        <w:t>，以及各地实验动物管理委员会的具体规定</w:t>
      </w:r>
      <w:r w:rsidRPr="00A34A20">
        <w:rPr>
          <w:rFonts w:ascii="&amp;quot" w:eastAsia="宋体" w:hAnsi="&amp;quot" w:cs="宋体"/>
          <w:color w:val="4B4B4B"/>
          <w:kern w:val="0"/>
          <w:sz w:val="18"/>
          <w:szCs w:val="18"/>
          <w:bdr w:val="none" w:sz="0" w:space="0" w:color="auto" w:frame="1"/>
        </w:rPr>
        <w:t>,</w:t>
      </w:r>
      <w:r w:rsidRPr="00A34A20">
        <w:rPr>
          <w:rFonts w:ascii="&amp;quot" w:eastAsia="宋体" w:hAnsi="&amp;quot" w:cs="宋体"/>
          <w:color w:val="4B4B4B"/>
          <w:kern w:val="0"/>
          <w:sz w:val="18"/>
          <w:szCs w:val="18"/>
          <w:bdr w:val="none" w:sz="0" w:space="0" w:color="auto" w:frame="1"/>
        </w:rPr>
        <w:t>进行饲育、管理、检疫和使用。</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w:t>
      </w:r>
      <w:r w:rsidRPr="00A34A20">
        <w:rPr>
          <w:rFonts w:ascii="&amp;quot" w:eastAsia="宋体" w:hAnsi="&amp;quot" w:cs="宋体"/>
          <w:color w:val="4B4B4B"/>
          <w:kern w:val="0"/>
          <w:sz w:val="18"/>
          <w:szCs w:val="18"/>
          <w:bdr w:val="none" w:sz="0" w:space="0" w:color="auto" w:frame="1"/>
        </w:rPr>
        <w:t>第二十证。计量认证工作先按高校隶属关系由上级主管部门组织对实验室验收合格后部委所属院校的实验室，由国家教委与国家技术监督局组织进行计量认证；地方院校的实验室，由各地省政府高校主管部门与计量行政部门负责计量认证。</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第三十条　实验室要建立和健全岗位责任制。要定期对实验室工作人员的工作量和水平考核。</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第三十一条　实验室要实行科学管理，完善各项管理规章制度。要采用计算机等现代化手段，对实验室的工作、人员、物资、经费、环境状态信息进行记录、统计和分析，及时为学校或上级主管部门提供实验室情况的准确数据。</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第三十二条　要逐步建立高等学校实验室的评估制度。高等学校的各主管部门，可以按照实验室基本条件、实验室管理水平、实验室效益、实验室特色等方面的要求制定评估指标体系细则，对高等学校的实验室开展评估工作。评估结果作为确定各高等学校办学条件和水平的重要因素。</w:t>
      </w:r>
    </w:p>
    <w:p w:rsidR="00A34A20" w:rsidRPr="00A34A20" w:rsidRDefault="00A34A20" w:rsidP="00A34A20">
      <w:pPr>
        <w:widowControl/>
        <w:spacing w:line="363" w:lineRule="atLeast"/>
        <w:jc w:val="center"/>
        <w:rPr>
          <w:rFonts w:ascii="&amp;quot" w:eastAsia="宋体" w:hAnsi="&amp;quot" w:cs="宋体"/>
          <w:color w:val="4B4B4B"/>
          <w:kern w:val="0"/>
          <w:sz w:val="18"/>
          <w:szCs w:val="18"/>
        </w:rPr>
      </w:pPr>
      <w:r w:rsidRPr="00A34A20">
        <w:rPr>
          <w:rFonts w:ascii="&amp;quot" w:eastAsia="宋体" w:hAnsi="&amp;quot" w:cs="宋体"/>
          <w:b/>
          <w:bCs/>
          <w:color w:val="4B4B4B"/>
          <w:kern w:val="0"/>
          <w:sz w:val="18"/>
          <w:szCs w:val="18"/>
          <w:bdr w:val="none" w:sz="0" w:space="0" w:color="auto" w:frame="1"/>
        </w:rPr>
        <w:t>第六章　人员</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第三十三条　实验室主任要由具有较高的思想政党觉悟，有一定的专业理论修养，有实验教学或科研工作经验，组织管理能力较强的相应专业的讲师（或工程师）以上人员担任。学校系一级以及基础课的实验室，要由相应专业的副教授（或高级工程师）以上的人员担任。</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第三十四条　高等学校的实验室主任、副主任均由学校聘任或任命；国家、部门或地区的实验室、实验中心的主任，副主任，由上级主管部门聘任或任命。</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第三十五条　实验室主任的主要职责是：</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（一）负责编制实验室建设规划和计划，并组织实施和检查执行情况；</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（二）领导并组织完成本地规程第二章规定的实验室工作任务；</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（三）搞好实验室的科学管理，贯彻、实施有关规章制度；</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（四）领导本室各类人员的工作，制定岗位责任制，负责对本室专职工作人员的培训及考核；</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（五）负责本室精神文明建设，抓好工作人员和学生思想政治教育；</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（六）定期检查、总结实验室工作，开展评比活动等。</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第三十六条　高等学校实验室工作人员包括：从事实验室工作的教师、研究人员、工程技术人员、实验技术人员、管理人员和工作。各类人员要有明确的职责分工。要各司其职，同时要做到团结协作，积极完成各项任务。</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lastRenderedPageBreak/>
        <w:t xml:space="preserve">　　第三十七条　实验室工程技术人员与实验技术人员的编制，要参照在校学生数，不同类型学校实验教学、科研工作量及实验室仪器设备状况，合理折算后确定。有条件的学校可以进行流动编制。</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第三十八条　对于在实验室中从事有害健康工种的工作人员，可参照国家教委（</w:t>
      </w:r>
      <w:r w:rsidRPr="00A34A20">
        <w:rPr>
          <w:rFonts w:ascii="&amp;quot" w:eastAsia="宋体" w:hAnsi="&amp;quot" w:cs="宋体"/>
          <w:color w:val="4B4B4B"/>
          <w:kern w:val="0"/>
          <w:sz w:val="18"/>
          <w:szCs w:val="18"/>
          <w:bdr w:val="none" w:sz="0" w:space="0" w:color="auto" w:frame="1"/>
        </w:rPr>
        <w:t>1988</w:t>
      </w:r>
      <w:r w:rsidRPr="00A34A20">
        <w:rPr>
          <w:rFonts w:ascii="&amp;quot" w:eastAsia="宋体" w:hAnsi="&amp;quot" w:cs="宋体"/>
          <w:color w:val="4B4B4B"/>
          <w:kern w:val="0"/>
          <w:sz w:val="18"/>
          <w:szCs w:val="18"/>
          <w:bdr w:val="none" w:sz="0" w:space="0" w:color="auto" w:frame="1"/>
        </w:rPr>
        <w:t>）教备局字</w:t>
      </w:r>
      <w:r w:rsidRPr="00A34A20">
        <w:rPr>
          <w:rFonts w:ascii="&amp;quot" w:eastAsia="宋体" w:hAnsi="&amp;quot" w:cs="宋体"/>
          <w:color w:val="4B4B4B"/>
          <w:kern w:val="0"/>
          <w:sz w:val="18"/>
          <w:szCs w:val="18"/>
          <w:bdr w:val="none" w:sz="0" w:space="0" w:color="auto" w:frame="1"/>
        </w:rPr>
        <w:t>008</w:t>
      </w:r>
      <w:r w:rsidRPr="00A34A20">
        <w:rPr>
          <w:rFonts w:ascii="&amp;quot" w:eastAsia="宋体" w:hAnsi="&amp;quot" w:cs="宋体"/>
          <w:color w:val="4B4B4B"/>
          <w:kern w:val="0"/>
          <w:sz w:val="18"/>
          <w:szCs w:val="18"/>
          <w:bdr w:val="none" w:sz="0" w:space="0" w:color="auto" w:frame="1"/>
        </w:rPr>
        <w:t>号文件《高等学校从事有害健康工种人员营养保健等级和标准的暂行规定》，在严格考勤记录制度的基础上享受保健待遇。</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第三十九条　实验室工作人员的岗位职责</w:t>
      </w:r>
      <w:r w:rsidRPr="00A34A20">
        <w:rPr>
          <w:rFonts w:ascii="&amp;quot" w:eastAsia="宋体" w:hAnsi="&amp;quot" w:cs="宋体"/>
          <w:color w:val="4B4B4B"/>
          <w:kern w:val="0"/>
          <w:sz w:val="18"/>
          <w:szCs w:val="18"/>
          <w:bdr w:val="none" w:sz="0" w:space="0" w:color="auto" w:frame="1"/>
        </w:rPr>
        <w:t>,</w:t>
      </w:r>
      <w:r w:rsidRPr="00A34A20">
        <w:rPr>
          <w:rFonts w:ascii="&amp;quot" w:eastAsia="宋体" w:hAnsi="&amp;quot" w:cs="宋体"/>
          <w:color w:val="4B4B4B"/>
          <w:kern w:val="0"/>
          <w:sz w:val="18"/>
          <w:szCs w:val="18"/>
          <w:bdr w:val="none" w:sz="0" w:space="0" w:color="auto" w:frame="1"/>
        </w:rPr>
        <w:t>由实验室主任根据学校的工作目标</w:t>
      </w:r>
      <w:r w:rsidRPr="00A34A20">
        <w:rPr>
          <w:rFonts w:ascii="&amp;quot" w:eastAsia="宋体" w:hAnsi="&amp;quot" w:cs="宋体"/>
          <w:color w:val="4B4B4B"/>
          <w:kern w:val="0"/>
          <w:sz w:val="18"/>
          <w:szCs w:val="18"/>
          <w:bdr w:val="none" w:sz="0" w:space="0" w:color="auto" w:frame="1"/>
        </w:rPr>
        <w:t>,</w:t>
      </w:r>
      <w:r w:rsidRPr="00A34A20">
        <w:rPr>
          <w:rFonts w:ascii="&amp;quot" w:eastAsia="宋体" w:hAnsi="&amp;quot" w:cs="宋体"/>
          <w:color w:val="4B4B4B"/>
          <w:kern w:val="0"/>
          <w:sz w:val="18"/>
          <w:szCs w:val="18"/>
          <w:bdr w:val="none" w:sz="0" w:space="0" w:color="auto" w:frame="1"/>
        </w:rPr>
        <w:t>按照国家对不同专业技术干部和工作职责的有关条例定及实施细则具体确定。</w:t>
      </w:r>
      <w:r w:rsidRPr="00A34A20">
        <w:rPr>
          <w:rFonts w:ascii="&amp;quot" w:eastAsia="宋体" w:hAnsi="&amp;quot" w:cs="宋体"/>
          <w:color w:val="4B4B4B"/>
          <w:kern w:val="0"/>
          <w:sz w:val="18"/>
          <w:szCs w:val="18"/>
          <w:bdr w:val="none" w:sz="0" w:space="0" w:color="auto" w:frame="1"/>
        </w:rPr>
        <w:t xml:space="preserve"> </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第四十条　实验室各类人员的职务聘任、级别晋升工作</w:t>
      </w:r>
      <w:r w:rsidRPr="00A34A20">
        <w:rPr>
          <w:rFonts w:ascii="&amp;quot" w:eastAsia="宋体" w:hAnsi="&amp;quot" w:cs="宋体"/>
          <w:color w:val="4B4B4B"/>
          <w:kern w:val="0"/>
          <w:sz w:val="18"/>
          <w:szCs w:val="18"/>
          <w:bdr w:val="none" w:sz="0" w:space="0" w:color="auto" w:frame="1"/>
        </w:rPr>
        <w:t>。根据实验室的工作特点和本人的工作实绩</w:t>
      </w:r>
      <w:r w:rsidRPr="00A34A20">
        <w:rPr>
          <w:rFonts w:ascii="&amp;quot" w:eastAsia="宋体" w:hAnsi="&amp;quot" w:cs="宋体"/>
          <w:color w:val="4B4B4B"/>
          <w:kern w:val="0"/>
          <w:sz w:val="18"/>
          <w:szCs w:val="18"/>
          <w:bdr w:val="none" w:sz="0" w:space="0" w:color="auto" w:frame="1"/>
        </w:rPr>
        <w:t>,</w:t>
      </w:r>
      <w:r w:rsidRPr="00A34A20">
        <w:rPr>
          <w:rFonts w:ascii="&amp;quot" w:eastAsia="宋体" w:hAnsi="&amp;quot" w:cs="宋体"/>
          <w:color w:val="4B4B4B"/>
          <w:kern w:val="0"/>
          <w:sz w:val="18"/>
          <w:szCs w:val="18"/>
          <w:bdr w:val="none" w:sz="0" w:space="0" w:color="auto" w:frame="1"/>
        </w:rPr>
        <w:t>按照国家和学校的有关规定执行。</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第四十一条　高等学校要定期开展实验室工作的检查、评比活动。对成绩显著的集体和个人要进行表彰和鼓励，对违章失职或因工作不负责任造成损失者，提行批评教育或行政处分，直至追求法律责任。</w:t>
      </w:r>
    </w:p>
    <w:p w:rsidR="00A34A20" w:rsidRPr="00A34A20" w:rsidRDefault="00A34A20" w:rsidP="00A34A20">
      <w:pPr>
        <w:widowControl/>
        <w:spacing w:line="363" w:lineRule="atLeast"/>
        <w:jc w:val="center"/>
        <w:rPr>
          <w:rFonts w:ascii="&amp;quot" w:eastAsia="宋体" w:hAnsi="&amp;quot" w:cs="宋体"/>
          <w:color w:val="4B4B4B"/>
          <w:kern w:val="0"/>
          <w:sz w:val="18"/>
          <w:szCs w:val="18"/>
        </w:rPr>
      </w:pPr>
      <w:r w:rsidRPr="00A34A20">
        <w:rPr>
          <w:rFonts w:ascii="&amp;quot" w:eastAsia="宋体" w:hAnsi="&amp;quot" w:cs="宋体"/>
          <w:b/>
          <w:bCs/>
          <w:color w:val="4B4B4B"/>
          <w:kern w:val="0"/>
          <w:sz w:val="18"/>
          <w:szCs w:val="18"/>
          <w:bdr w:val="none" w:sz="0" w:space="0" w:color="auto" w:frame="1"/>
        </w:rPr>
        <w:t> </w:t>
      </w:r>
      <w:r w:rsidRPr="00A34A20">
        <w:rPr>
          <w:rFonts w:ascii="&amp;quot" w:eastAsia="宋体" w:hAnsi="&amp;quot" w:cs="宋体"/>
          <w:b/>
          <w:bCs/>
          <w:color w:val="4B4B4B"/>
          <w:kern w:val="0"/>
          <w:sz w:val="18"/>
          <w:szCs w:val="18"/>
          <w:bdr w:val="none" w:sz="0" w:space="0" w:color="auto" w:frame="1"/>
        </w:rPr>
        <w:t>第七章　附则</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第四十二条　各高等学校要根据本规程，结合本校实际情况，制定各项具体实施办法。</w:t>
      </w:r>
    </w:p>
    <w:p w:rsidR="00A34A20" w:rsidRPr="00A34A20" w:rsidRDefault="00A34A20" w:rsidP="00A34A20">
      <w:pPr>
        <w:widowControl/>
        <w:spacing w:line="363" w:lineRule="atLeast"/>
        <w:jc w:val="left"/>
        <w:rPr>
          <w:rFonts w:ascii="&amp;quot" w:eastAsia="宋体" w:hAnsi="&amp;quot" w:cs="宋体"/>
          <w:color w:val="4B4B4B"/>
          <w:kern w:val="0"/>
          <w:sz w:val="18"/>
          <w:szCs w:val="18"/>
        </w:rPr>
      </w:pPr>
      <w:r w:rsidRPr="00A34A20">
        <w:rPr>
          <w:rFonts w:ascii="&amp;quot" w:eastAsia="宋体" w:hAnsi="&amp;quot" w:cs="宋体"/>
          <w:color w:val="4B4B4B"/>
          <w:kern w:val="0"/>
          <w:sz w:val="18"/>
          <w:szCs w:val="18"/>
        </w:rPr>
        <w:t xml:space="preserve">　　第四十三条　本规程自发布之日起执行。教育部一九八三年十二月十五日印发的《高等学校实验室工作暂行条例》即行失效。</w:t>
      </w:r>
    </w:p>
    <w:p w:rsidR="00085E0D" w:rsidRDefault="00085E0D"/>
    <w:sectPr w:rsidR="00085E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E0D" w:rsidRDefault="00085E0D" w:rsidP="00A34A20">
      <w:r>
        <w:separator/>
      </w:r>
    </w:p>
  </w:endnote>
  <w:endnote w:type="continuationSeparator" w:id="1">
    <w:p w:rsidR="00085E0D" w:rsidRDefault="00085E0D" w:rsidP="00A34A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E0D" w:rsidRDefault="00085E0D" w:rsidP="00A34A20">
      <w:r>
        <w:separator/>
      </w:r>
    </w:p>
  </w:footnote>
  <w:footnote w:type="continuationSeparator" w:id="1">
    <w:p w:rsidR="00085E0D" w:rsidRDefault="00085E0D" w:rsidP="00A34A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4A20"/>
    <w:rsid w:val="00085E0D"/>
    <w:rsid w:val="00A34A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34A2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A34A2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4A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4A20"/>
    <w:rPr>
      <w:sz w:val="18"/>
      <w:szCs w:val="18"/>
    </w:rPr>
  </w:style>
  <w:style w:type="paragraph" w:styleId="a4">
    <w:name w:val="footer"/>
    <w:basedOn w:val="a"/>
    <w:link w:val="Char0"/>
    <w:uiPriority w:val="99"/>
    <w:semiHidden/>
    <w:unhideWhenUsed/>
    <w:rsid w:val="00A34A2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4A20"/>
    <w:rPr>
      <w:sz w:val="18"/>
      <w:szCs w:val="18"/>
    </w:rPr>
  </w:style>
  <w:style w:type="character" w:customStyle="1" w:styleId="1Char">
    <w:name w:val="标题 1 Char"/>
    <w:basedOn w:val="a0"/>
    <w:link w:val="1"/>
    <w:uiPriority w:val="9"/>
    <w:rsid w:val="00A34A20"/>
    <w:rPr>
      <w:rFonts w:ascii="宋体" w:eastAsia="宋体" w:hAnsi="宋体" w:cs="宋体"/>
      <w:b/>
      <w:bCs/>
      <w:kern w:val="36"/>
      <w:sz w:val="48"/>
      <w:szCs w:val="48"/>
    </w:rPr>
  </w:style>
  <w:style w:type="character" w:customStyle="1" w:styleId="3Char">
    <w:name w:val="标题 3 Char"/>
    <w:basedOn w:val="a0"/>
    <w:link w:val="3"/>
    <w:uiPriority w:val="9"/>
    <w:rsid w:val="00A34A20"/>
    <w:rPr>
      <w:rFonts w:ascii="宋体" w:eastAsia="宋体" w:hAnsi="宋体" w:cs="宋体"/>
      <w:b/>
      <w:bCs/>
      <w:kern w:val="0"/>
      <w:sz w:val="27"/>
      <w:szCs w:val="27"/>
    </w:rPr>
  </w:style>
  <w:style w:type="paragraph" w:styleId="a5">
    <w:name w:val="Normal (Web)"/>
    <w:basedOn w:val="a"/>
    <w:uiPriority w:val="99"/>
    <w:semiHidden/>
    <w:unhideWhenUsed/>
    <w:rsid w:val="00A34A2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46095181">
      <w:bodyDiv w:val="1"/>
      <w:marLeft w:val="0"/>
      <w:marRight w:val="0"/>
      <w:marTop w:val="0"/>
      <w:marBottom w:val="0"/>
      <w:divBdr>
        <w:top w:val="none" w:sz="0" w:space="0" w:color="auto"/>
        <w:left w:val="none" w:sz="0" w:space="0" w:color="auto"/>
        <w:bottom w:val="none" w:sz="0" w:space="0" w:color="auto"/>
        <w:right w:val="none" w:sz="0" w:space="0" w:color="auto"/>
      </w:divBdr>
      <w:divsChild>
        <w:div w:id="2064253837">
          <w:marLeft w:val="0"/>
          <w:marRight w:val="0"/>
          <w:marTop w:val="3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3646</Characters>
  <Application>Microsoft Office Word</Application>
  <DocSecurity>0</DocSecurity>
  <Lines>30</Lines>
  <Paragraphs>8</Paragraphs>
  <ScaleCrop>false</ScaleCrop>
  <Company>HP</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379160485@qq.com</dc:creator>
  <cp:keywords/>
  <dc:description/>
  <cp:lastModifiedBy>379160485@qq.com</cp:lastModifiedBy>
  <cp:revision>2</cp:revision>
  <dcterms:created xsi:type="dcterms:W3CDTF">2019-06-17T01:20:00Z</dcterms:created>
  <dcterms:modified xsi:type="dcterms:W3CDTF">2019-06-17T01:20:00Z</dcterms:modified>
</cp:coreProperties>
</file>