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20"/>
          <w:rFonts w:hint="default" w:ascii="方正小标宋_GBK" w:hAnsi="方正小标宋_GBK" w:eastAsia="方正小标宋_GBK" w:cs="方正小标宋_GBK"/>
          <w:b w:val="0"/>
          <w:bCs w:val="0"/>
          <w:kern w:val="2"/>
          <w:sz w:val="44"/>
          <w:szCs w:val="44"/>
          <w:lang w:val="en-US" w:eastAsia="zh-CN" w:bidi="ar-SA"/>
        </w:rPr>
      </w:pPr>
      <w:r>
        <w:rPr>
          <w:rStyle w:val="20"/>
          <w:rFonts w:hint="eastAsia" w:ascii="方正小标宋_GBK" w:hAnsi="方正小标宋_GBK" w:eastAsia="方正小标宋_GBK" w:cs="方正小标宋_GBK"/>
          <w:b w:val="0"/>
          <w:bCs w:val="0"/>
          <w:kern w:val="2"/>
          <w:sz w:val="44"/>
          <w:szCs w:val="44"/>
          <w:lang w:val="en-US" w:eastAsia="zh-CN" w:bidi="ar-SA"/>
        </w:rPr>
        <w:t>资阳口腔职业学院</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20"/>
          <w:rFonts w:hint="eastAsia" w:ascii="方正小标宋_GBK" w:hAnsi="方正小标宋_GBK" w:eastAsia="方正小标宋_GBK" w:cs="方正小标宋_GBK"/>
          <w:b w:val="0"/>
          <w:bCs w:val="0"/>
          <w:kern w:val="2"/>
          <w:sz w:val="44"/>
          <w:szCs w:val="44"/>
          <w:lang w:val="en-US" w:eastAsia="zh-CN" w:bidi="ar-SA"/>
        </w:rPr>
      </w:pPr>
      <w:r>
        <w:rPr>
          <w:rStyle w:val="20"/>
          <w:rFonts w:hint="eastAsia" w:ascii="方正小标宋_GBK" w:hAnsi="方正小标宋_GBK" w:eastAsia="方正小标宋_GBK" w:cs="方正小标宋_GBK"/>
          <w:b w:val="0"/>
          <w:bCs w:val="0"/>
          <w:kern w:val="2"/>
          <w:sz w:val="44"/>
          <w:szCs w:val="44"/>
          <w:lang w:val="en-US" w:eastAsia="zh-CN" w:bidi="ar-SA"/>
        </w:rPr>
        <w:t>第五届教师教学能力大赛方案</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rPr>
          <w:rStyle w:val="20"/>
          <w:rFonts w:hint="default" w:ascii="宋体" w:hAnsi="宋体" w:eastAsia="宋体" w:cstheme="minorBidi"/>
          <w:b w:val="0"/>
          <w:bCs w:val="0"/>
          <w:spacing w:val="-9"/>
          <w:kern w:val="2"/>
          <w:sz w:val="28"/>
          <w:szCs w:val="28"/>
          <w:highlight w:val="none"/>
          <w:lang w:val="en-US" w:eastAsia="zh-CN" w:bidi="zh-CN"/>
        </w:rPr>
      </w:pP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right="0" w:firstLine="640" w:firstLineChars="200"/>
        <w:jc w:val="left"/>
        <w:textAlignment w:val="auto"/>
        <w:rPr>
          <w:rStyle w:val="20"/>
          <w:rFonts w:hint="eastAsia" w:ascii="方正黑体_GBK" w:hAnsi="方正黑体_GBK" w:eastAsia="方正黑体_GBK" w:cs="方正黑体_GBK"/>
          <w:b w:val="0"/>
          <w:bCs w:val="0"/>
          <w:kern w:val="2"/>
          <w:sz w:val="32"/>
          <w:szCs w:val="32"/>
          <w:lang w:val="en-US" w:eastAsia="zh-CN" w:bidi="ar-SA"/>
        </w:rPr>
      </w:pPr>
      <w:r>
        <w:rPr>
          <w:rStyle w:val="20"/>
          <w:rFonts w:hint="eastAsia" w:ascii="方正黑体_GBK" w:hAnsi="方正黑体_GBK" w:eastAsia="方正黑体_GBK" w:cs="方正黑体_GBK"/>
          <w:b w:val="0"/>
          <w:bCs w:val="0"/>
          <w:kern w:val="2"/>
          <w:sz w:val="32"/>
          <w:szCs w:val="32"/>
          <w:lang w:val="en-US" w:eastAsia="zh-CN" w:bidi="ar-SA"/>
        </w:rPr>
        <w:t>指导思想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pacing w:val="-6"/>
          <w:sz w:val="32"/>
          <w:szCs w:val="32"/>
          <w:highlight w:val="yellow"/>
          <w:lang w:val="en-US" w:eastAsia="zh-CN" w:bidi="zh-CN"/>
        </w:rPr>
      </w:pPr>
      <w:r>
        <w:rPr>
          <w:rFonts w:hint="eastAsia" w:ascii="方正仿宋_GBK" w:hAnsi="方正仿宋_GBK" w:eastAsia="方正仿宋_GBK" w:cs="方正仿宋_GBK"/>
          <w:color w:val="000000"/>
          <w:kern w:val="0"/>
          <w:sz w:val="32"/>
          <w:szCs w:val="32"/>
          <w:lang w:val="en-US" w:eastAsia="zh-CN" w:bidi="ar"/>
        </w:rPr>
        <w:t>以习近平新时代中国特色社会主义思想为指导，全面深入贯彻党中央、国务院关于职业教育改革的决策部署，落实《关于全面深化新时代教师队伍建设改革的意见》《关于推动现代职业教育高质量发展的意见》《关于深化现代职业教育体系建设改革的意见》，落实立德树人根本任务，构建“三全育人”体系，坚持“以赛促教、以赛促学、以赛促改、以赛促研”，赛出高风格，赛出真水平，赛出基本功，充分发挥比赛的引领示范作用，推进线上、线下教育相互融合，探索“岗课赛证”综合育人，推进高水平、结构化教师教学创新团队建设，促进“能说会做善导”的“双师型”教师成长，不断提高教师的师德践行能力、专业教学能力、综合育人能力和自主发展能力。</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Style w:val="20"/>
          <w:rFonts w:hint="eastAsia" w:ascii="方正黑体_GBK" w:hAnsi="方正黑体_GBK" w:eastAsia="方正黑体_GBK" w:cs="方正黑体_GBK"/>
          <w:b w:val="0"/>
          <w:bCs w:val="0"/>
          <w:kern w:val="2"/>
          <w:sz w:val="32"/>
          <w:szCs w:val="32"/>
          <w:lang w:val="en-US" w:eastAsia="zh-CN" w:bidi="ar-SA"/>
        </w:rPr>
      </w:pPr>
      <w:r>
        <w:rPr>
          <w:rStyle w:val="20"/>
          <w:rFonts w:hint="eastAsia" w:ascii="方正黑体_GBK" w:hAnsi="方正黑体_GBK" w:eastAsia="方正黑体_GBK" w:cs="方正黑体_GBK"/>
          <w:b w:val="0"/>
          <w:bCs w:val="0"/>
          <w:kern w:val="2"/>
          <w:sz w:val="32"/>
          <w:szCs w:val="32"/>
          <w:lang w:val="en-US" w:eastAsia="zh-CN" w:bidi="ar-SA"/>
        </w:rPr>
        <w:t>大赛安排</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Style w:val="20"/>
          <w:rFonts w:hint="eastAsia" w:ascii="方正楷体_GBK" w:hAnsi="方正楷体_GBK" w:eastAsia="方正楷体_GBK" w:cs="方正楷体_GBK"/>
          <w:b/>
          <w:bCs/>
          <w:kern w:val="2"/>
          <w:sz w:val="32"/>
          <w:szCs w:val="32"/>
          <w:highlight w:val="none"/>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（一）成立领导小组</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kern w:val="2"/>
          <w:sz w:val="32"/>
          <w:szCs w:val="32"/>
          <w:highlight w:val="none"/>
          <w:lang w:val="en-US" w:eastAsia="zh-CN" w:bidi="ar-SA"/>
        </w:rPr>
        <w:t>组长：万呼春</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kern w:val="2"/>
          <w:sz w:val="32"/>
          <w:szCs w:val="32"/>
          <w:highlight w:val="none"/>
          <w:lang w:val="en-US" w:eastAsia="zh-CN" w:bidi="ar-SA"/>
        </w:rPr>
        <w:t>副组长：刘奇</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Style w:val="20"/>
          <w:rFonts w:hint="default"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kern w:val="2"/>
          <w:sz w:val="32"/>
          <w:szCs w:val="32"/>
          <w:highlight w:val="none"/>
          <w:lang w:val="en-US" w:eastAsia="zh-CN" w:bidi="ar-SA"/>
        </w:rPr>
        <w:t>成员：张超、胡利青、陈思俊、张涛、廖清三、丁晓月、杨萌、王娜、张曜宇、曾丰燕、樊帅</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Style w:val="20"/>
          <w:rFonts w:hint="eastAsia" w:ascii="方正楷体_GBK" w:hAnsi="方正楷体_GBK" w:eastAsia="方正楷体_GBK" w:cs="方正楷体_GBK"/>
          <w:b/>
          <w:bCs/>
          <w:kern w:val="2"/>
          <w:sz w:val="32"/>
          <w:szCs w:val="32"/>
          <w:highlight w:val="none"/>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（二）比赛时间</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kern w:val="2"/>
          <w:sz w:val="32"/>
          <w:szCs w:val="32"/>
          <w:highlight w:val="none"/>
          <w:lang w:val="en-US" w:eastAsia="zh-CN" w:bidi="ar-SA"/>
        </w:rPr>
        <w:t>1.校初赛（即系部赛）</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Style w:val="20"/>
          <w:rFonts w:hint="default"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kern w:val="2"/>
          <w:sz w:val="32"/>
          <w:szCs w:val="32"/>
          <w:highlight w:val="none"/>
          <w:lang w:val="en-US" w:eastAsia="zh-CN" w:bidi="ar-SA"/>
        </w:rPr>
        <w:t>2023年4月12日之前完成。</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kern w:val="2"/>
          <w:sz w:val="32"/>
          <w:szCs w:val="32"/>
          <w:highlight w:val="none"/>
          <w:lang w:val="en-US" w:eastAsia="zh-CN" w:bidi="ar-SA"/>
        </w:rPr>
        <w:t>2.校决赛</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Style w:val="20"/>
          <w:rFonts w:hint="eastAsia" w:ascii="方正仿宋_GBK" w:hAnsi="方正仿宋_GBK" w:eastAsia="方正仿宋_GBK" w:cs="方正仿宋_GBK"/>
          <w:b w:val="0"/>
          <w:bCs w:val="0"/>
          <w:color w:val="auto"/>
          <w:kern w:val="2"/>
          <w:sz w:val="32"/>
          <w:szCs w:val="32"/>
          <w:highlight w:val="none"/>
          <w:lang w:val="en-US" w:eastAsia="zh-CN" w:bidi="ar-SA"/>
        </w:rPr>
      </w:pPr>
      <w:r>
        <w:rPr>
          <w:rStyle w:val="20"/>
          <w:rFonts w:hint="eastAsia" w:ascii="方正仿宋_GBK" w:hAnsi="方正仿宋_GBK" w:eastAsia="方正仿宋_GBK" w:cs="方正仿宋_GBK"/>
          <w:b w:val="0"/>
          <w:bCs w:val="0"/>
          <w:color w:val="auto"/>
          <w:kern w:val="2"/>
          <w:sz w:val="32"/>
          <w:szCs w:val="32"/>
          <w:highlight w:val="none"/>
          <w:lang w:val="en-US" w:eastAsia="zh-CN" w:bidi="ar-SA"/>
        </w:rPr>
        <w:t>2024年4月16日下午14:00开始</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Style w:val="20"/>
          <w:rFonts w:hint="eastAsia" w:ascii="方正楷体_GBK" w:hAnsi="方正楷体_GBK" w:eastAsia="方正楷体_GBK" w:cs="方正楷体_GBK"/>
          <w:b/>
          <w:bCs/>
          <w:kern w:val="2"/>
          <w:sz w:val="32"/>
          <w:szCs w:val="32"/>
          <w:highlight w:val="none"/>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（三）比赛地点</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kern w:val="2"/>
          <w:sz w:val="32"/>
          <w:szCs w:val="32"/>
          <w:highlight w:val="none"/>
          <w:lang w:val="en-US" w:eastAsia="zh-CN" w:bidi="ar-SA"/>
        </w:rPr>
        <w:t>图书馆汇报厅</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Style w:val="20"/>
          <w:rFonts w:hint="eastAsia" w:ascii="方正楷体_GBK" w:hAnsi="方正楷体_GBK" w:eastAsia="方正楷体_GBK" w:cs="方正楷体_GBK"/>
          <w:b/>
          <w:bCs/>
          <w:kern w:val="2"/>
          <w:sz w:val="32"/>
          <w:szCs w:val="32"/>
          <w:highlight w:val="none"/>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（四）参赛人员</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color w:val="auto"/>
          <w:kern w:val="2"/>
          <w:sz w:val="32"/>
          <w:szCs w:val="32"/>
          <w:highlight w:val="none"/>
          <w:lang w:val="en-US" w:eastAsia="zh-CN" w:bidi="ar-SA"/>
        </w:rPr>
        <w:t>以系部为单位上报参赛团队，医学系、护理系、智工系分别推荐参加高职专业一组、二组各一支团队，基础系推荐两支团队参加公共基础组。</w:t>
      </w:r>
      <w:r>
        <w:rPr>
          <w:rStyle w:val="20"/>
          <w:rFonts w:hint="eastAsia" w:ascii="方正仿宋_GBK" w:hAnsi="方正仿宋_GBK" w:eastAsia="方正仿宋_GBK" w:cs="方正仿宋_GBK"/>
          <w:b w:val="0"/>
          <w:bCs w:val="0"/>
          <w:kern w:val="2"/>
          <w:sz w:val="32"/>
          <w:szCs w:val="32"/>
          <w:highlight w:val="none"/>
          <w:lang w:val="en-US" w:eastAsia="zh-CN" w:bidi="ar-SA"/>
        </w:rPr>
        <w:t>每支参赛团队由4名老师组成（鼓励兼职老师报名参加）。</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Style w:val="20"/>
          <w:rFonts w:hint="eastAsia" w:ascii="方正楷体_GBK" w:hAnsi="方正楷体_GBK" w:eastAsia="方正楷体_GBK" w:cs="方正楷体_GBK"/>
          <w:b/>
          <w:bCs/>
          <w:kern w:val="2"/>
          <w:sz w:val="32"/>
          <w:szCs w:val="32"/>
          <w:highlight w:val="none"/>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（五）大赛团队顺序安排</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color w:val="auto"/>
          <w:kern w:val="2"/>
          <w:sz w:val="32"/>
          <w:szCs w:val="32"/>
          <w:highlight w:val="none"/>
          <w:lang w:val="en-US" w:eastAsia="zh-CN" w:bidi="ar-SA"/>
        </w:rPr>
        <w:t>2023年4月15日由</w:t>
      </w:r>
      <w:r>
        <w:rPr>
          <w:rStyle w:val="20"/>
          <w:rFonts w:hint="eastAsia" w:ascii="方正仿宋_GBK" w:hAnsi="方正仿宋_GBK" w:eastAsia="方正仿宋_GBK" w:cs="方正仿宋_GBK"/>
          <w:b w:val="0"/>
          <w:bCs w:val="0"/>
          <w:kern w:val="2"/>
          <w:sz w:val="32"/>
          <w:szCs w:val="32"/>
          <w:highlight w:val="none"/>
          <w:lang w:val="en-US" w:eastAsia="zh-CN" w:bidi="ar-SA"/>
        </w:rPr>
        <w:t>教学事务部组织参赛团队抽取比赛顺序。</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Style w:val="20"/>
          <w:rFonts w:hint="eastAsia" w:ascii="方正楷体_GBK" w:hAnsi="方正楷体_GBK" w:eastAsia="方正楷体_GBK" w:cs="方正楷体_GBK"/>
          <w:b/>
          <w:bCs/>
          <w:kern w:val="2"/>
          <w:sz w:val="32"/>
          <w:szCs w:val="32"/>
          <w:highlight w:val="none"/>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（六）评委组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Fonts w:hint="eastAsia" w:ascii="仿宋" w:hAnsi="仿宋" w:eastAsia="仿宋"/>
          <w:color w:val="000000" w:themeColor="text1"/>
          <w:sz w:val="32"/>
          <w:szCs w:val="32"/>
          <w14:textFill>
            <w14:solidFill>
              <w14:schemeClr w14:val="tx1"/>
            </w14:solidFill>
          </w14:textFill>
        </w:rPr>
        <w:t>成立由院领导及</w:t>
      </w:r>
      <w:r>
        <w:rPr>
          <w:rFonts w:hint="eastAsia" w:ascii="仿宋" w:hAnsi="仿宋" w:eastAsia="仿宋"/>
          <w:color w:val="000000" w:themeColor="text1"/>
          <w:sz w:val="32"/>
          <w:szCs w:val="32"/>
          <w:lang w:val="en-US" w:eastAsia="zh-CN"/>
          <w14:textFill>
            <w14:solidFill>
              <w14:schemeClr w14:val="tx1"/>
            </w14:solidFill>
          </w14:textFill>
        </w:rPr>
        <w:t>校外专家</w:t>
      </w:r>
      <w:r>
        <w:rPr>
          <w:rFonts w:hint="eastAsia" w:ascii="仿宋" w:hAnsi="仿宋" w:eastAsia="仿宋"/>
          <w:color w:val="000000" w:themeColor="text1"/>
          <w:sz w:val="32"/>
          <w:szCs w:val="32"/>
          <w14:textFill>
            <w14:solidFill>
              <w14:schemeClr w14:val="tx1"/>
            </w14:solidFill>
          </w14:textFill>
        </w:rPr>
        <w:t>组成评委小组，资阳口腔职业学院</w:t>
      </w:r>
      <w:r>
        <w:rPr>
          <w:rFonts w:hint="eastAsia" w:ascii="仿宋" w:hAnsi="仿宋" w:eastAsia="仿宋"/>
          <w:color w:val="000000" w:themeColor="text1"/>
          <w:sz w:val="32"/>
          <w:szCs w:val="32"/>
          <w:lang w:val="en-US" w:eastAsia="zh-CN"/>
          <w14:textFill>
            <w14:solidFill>
              <w14:schemeClr w14:val="tx1"/>
            </w14:solidFill>
          </w14:textFill>
        </w:rPr>
        <w:t>第五届教师教学能力大赛</w:t>
      </w:r>
      <w:r>
        <w:rPr>
          <w:rFonts w:hint="eastAsia" w:ascii="仿宋" w:hAnsi="仿宋" w:eastAsia="仿宋"/>
          <w:color w:val="000000" w:themeColor="text1"/>
          <w:sz w:val="32"/>
          <w:szCs w:val="32"/>
          <w14:textFill>
            <w14:solidFill>
              <w14:schemeClr w14:val="tx1"/>
            </w14:solidFill>
          </w14:textFill>
        </w:rPr>
        <w:t>评委由教学部拟定评委名单，经领导小组讨论确定</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人，</w:t>
      </w:r>
      <w:r>
        <w:rPr>
          <w:rFonts w:hint="eastAsia" w:ascii="仿宋" w:hAnsi="仿宋" w:eastAsia="仿宋"/>
          <w:color w:val="000000" w:themeColor="text1"/>
          <w:sz w:val="32"/>
          <w:szCs w:val="32"/>
          <w14:textFill>
            <w14:solidFill>
              <w14:schemeClr w14:val="tx1"/>
            </w14:solidFill>
          </w14:textFill>
        </w:rPr>
        <w:t>担任决赛评委。</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Style w:val="20"/>
          <w:rFonts w:hint="eastAsia" w:ascii="方正黑体_GBK" w:hAnsi="方正黑体_GBK" w:eastAsia="方正黑体_GBK" w:cs="方正黑体_GBK"/>
          <w:b w:val="0"/>
          <w:bCs w:val="0"/>
          <w:kern w:val="2"/>
          <w:sz w:val="32"/>
          <w:szCs w:val="32"/>
          <w:lang w:val="en-US" w:eastAsia="zh-CN" w:bidi="ar-SA"/>
        </w:rPr>
      </w:pPr>
      <w:r>
        <w:rPr>
          <w:rStyle w:val="20"/>
          <w:rFonts w:hint="eastAsia" w:ascii="方正黑体_GBK" w:hAnsi="方正黑体_GBK" w:eastAsia="方正黑体_GBK" w:cs="方正黑体_GBK"/>
          <w:b w:val="0"/>
          <w:bCs w:val="0"/>
          <w:kern w:val="2"/>
          <w:sz w:val="32"/>
          <w:szCs w:val="32"/>
          <w:lang w:val="en-US" w:eastAsia="zh-CN" w:bidi="ar-SA"/>
        </w:rPr>
        <w:t>三、大赛内容</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仿宋_GBK" w:hAnsi="方正仿宋_GBK" w:eastAsia="方正仿宋_GBK" w:cs="方正仿宋_GBK"/>
          <w:b w:val="0"/>
          <w:bCs w:val="0"/>
          <w:kern w:val="2"/>
          <w:sz w:val="32"/>
          <w:szCs w:val="32"/>
          <w:lang w:val="en-US" w:eastAsia="zh-CN" w:bidi="ar-SA"/>
        </w:rPr>
        <w:t>重点考察教学团队针对某门课程部分教学内容完成教学设计、实施课堂教学、达成评价目标、进行反思改进的能力。</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（一）教学内容。</w:t>
      </w:r>
      <w:r>
        <w:rPr>
          <w:rStyle w:val="20"/>
          <w:rFonts w:hint="eastAsia" w:ascii="方正仿宋_GBK" w:hAnsi="方正仿宋_GBK" w:eastAsia="方正仿宋_GBK" w:cs="方正仿宋_GBK"/>
          <w:b w:val="0"/>
          <w:bCs w:val="0"/>
          <w:kern w:val="2"/>
          <w:sz w:val="32"/>
          <w:szCs w:val="32"/>
          <w:highlight w:val="none"/>
          <w:lang w:val="en-US" w:eastAsia="zh-CN" w:bidi="ar-SA"/>
        </w:rPr>
        <w:t xml:space="preserve">根据职业教育国家教学标准要求，对接职业标准（规范）、职业技能等级标准等，优化课程结构、更新教学内容，契合层次定位。公共基础课程内容应体现思想性、科学性、基础性、职业性、时代性，体现学科知识与行业应用场景的融合，专业（技能）课程内容应对接新产业、新业态、新模式、新职业，体现专业升级和数字化转型、绿色化改造。结合教学实际融入科学精神、工程思维和创新意识，注重劳动精神、工匠精神、劳模精神培育 。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（二）教学设计。</w:t>
      </w:r>
      <w:r>
        <w:rPr>
          <w:rFonts w:hint="eastAsia" w:ascii="方正仿宋_GBK" w:hAnsi="方正仿宋_GBK" w:eastAsia="方正仿宋_GBK" w:cs="方正仿宋_GBK"/>
          <w:color w:val="000000"/>
          <w:kern w:val="0"/>
          <w:sz w:val="32"/>
          <w:szCs w:val="32"/>
          <w:lang w:val="en-US" w:eastAsia="zh-CN" w:bidi="ar"/>
        </w:rPr>
        <w:t>依据国家教学标准、学校专业人才培养方案和课程标准，针对参赛教学内容，进行学情分析，确定教学目标，优化教学过程。针对不同生源分类施教、因材施教。合理运用平台、技术、方法和资源等组织课堂教学。思想政治课以“八个统一”为统领，优化教学过程，增强思政课教学的吸引力、说服力、感染力。提高课程思政内涵融入课堂教学的水平，杜绝各种形式主义。专业（技能）课程鼓励按照生产实际和岗位需求设计模块化课程，强化工学结合、理实一体、手脑并用，实施项目式、任务式、案例式、情景化教学等</w:t>
      </w:r>
      <w:r>
        <w:rPr>
          <w:rFonts w:hint="eastAsia" w:ascii="方正仿宋_GBK" w:hAnsi="方正仿宋_GBK" w:eastAsia="方正仿宋_GBK" w:cs="方正仿宋_GBK"/>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（三）教学实施。</w:t>
      </w:r>
      <w:r>
        <w:rPr>
          <w:rFonts w:hint="eastAsia" w:ascii="方正仿宋_GBK" w:hAnsi="方正仿宋_GBK" w:eastAsia="方正仿宋_GBK" w:cs="方正仿宋_GBK"/>
          <w:color w:val="000000"/>
          <w:kern w:val="0"/>
          <w:sz w:val="32"/>
          <w:szCs w:val="32"/>
          <w:lang w:val="en-US" w:eastAsia="zh-CN" w:bidi="ar"/>
        </w:rPr>
        <w:t>教学实施应注重实效性，突出教学重点难点的解决方法和策略，开展师生、生生的有效互动，推动深度学习，采用现代信息技术收集教学过程真实数据，并根据反映出的问题适时调整教学策略。专业（技能）课程应注意引入典型生产案例；实习实训应落实职业学校学生实习管理规定、岗位实习标准、实训教学条件建设标准等，教师规范操作、有效示教，提高学生基于任务（项目）分析问题、解决问题的能力。根据需要合理创设数字化学习和实习实训情境，运用数字化教学资源。思想政治课教材选用应符合教育部有关规定，结合课程标准统筹用好中等职业教育课程改革国家规划新教材的德育课教材，其他课程按照国家、省职业学校教材管理办法或实施细则要求规范选用教材，优先选用国家规划教材，鼓励使用新型活页式、工作手册式教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sz w:val="32"/>
          <w:szCs w:val="32"/>
        </w:rPr>
      </w:pPr>
      <w:r>
        <w:rPr>
          <w:rStyle w:val="20"/>
          <w:rFonts w:hint="eastAsia" w:ascii="方正楷体_GBK" w:hAnsi="方正楷体_GBK" w:eastAsia="方正楷体_GBK" w:cs="方正楷体_GBK"/>
          <w:b/>
          <w:bCs/>
          <w:kern w:val="2"/>
          <w:sz w:val="32"/>
          <w:szCs w:val="32"/>
          <w:highlight w:val="none"/>
          <w:lang w:val="en-US" w:eastAsia="zh-CN" w:bidi="ar-SA"/>
        </w:rPr>
        <w:t>（四）教学评价。</w:t>
      </w:r>
      <w:r>
        <w:rPr>
          <w:rFonts w:hint="eastAsia" w:ascii="方正仿宋_GBK" w:hAnsi="方正仿宋_GBK" w:eastAsia="方正仿宋_GBK" w:cs="方正仿宋_GBK"/>
          <w:color w:val="000000"/>
          <w:kern w:val="0"/>
          <w:sz w:val="32"/>
          <w:szCs w:val="32"/>
          <w:lang w:val="en-US" w:eastAsia="zh-CN" w:bidi="ar"/>
        </w:rPr>
        <w:t>持续开展教学诊断与改进，注重过程评价与结果评价相结合，探索增值评价、健全综合评价，关注育人成效、检验教学质量，促进学生全面成长。鼓励运用大数据、人工智能等现代信息技术开展教与学行为的精准分析，个性化评价学生的学习成果和学习成效。思想政治课还应注重综合考核学生的思想政治素质和学科核心素养培养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（五）教学反思。</w:t>
      </w:r>
      <w:r>
        <w:rPr>
          <w:rFonts w:hint="eastAsia" w:ascii="方正仿宋_GBK" w:hAnsi="方正仿宋_GBK" w:eastAsia="方正仿宋_GBK" w:cs="方正仿宋_GBK"/>
          <w:color w:val="000000"/>
          <w:kern w:val="0"/>
          <w:sz w:val="32"/>
          <w:szCs w:val="32"/>
          <w:lang w:val="en-US" w:eastAsia="zh-CN" w:bidi="ar"/>
        </w:rPr>
        <w:t>深度思考在教学设计、教学实施、教学评价过程中的经验与不足，总结在更新教育理念、落实课程思政、优化教学内容、创新教学模式、转变教师角色、改进教学评价、运用信息技术等方面的改革与创新，做到设计理念、教学实施、育人成效的有机统一，成为传道授业解惑赋能的“大先生”。</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Style w:val="20"/>
          <w:rFonts w:hint="eastAsia" w:ascii="方正楷体_GBK" w:hAnsi="方正楷体_GBK" w:eastAsia="方正楷体_GBK" w:cs="方正楷体_GBK"/>
          <w:b/>
          <w:bCs/>
          <w:kern w:val="2"/>
          <w:sz w:val="32"/>
          <w:szCs w:val="32"/>
          <w:highlight w:val="none"/>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（六）大赛类别及大赛分组</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kern w:val="2"/>
          <w:sz w:val="32"/>
          <w:szCs w:val="32"/>
          <w:lang w:val="en-US" w:eastAsia="zh-CN" w:bidi="ar-SA"/>
        </w:rPr>
        <w:t>大赛分三个报名组别：公共基础课程组、专业（技能）课程一组、专业（技能）课程</w:t>
      </w:r>
      <w:r>
        <w:rPr>
          <w:rStyle w:val="20"/>
          <w:rFonts w:hint="eastAsia" w:ascii="方正仿宋_GBK" w:hAnsi="方正仿宋_GBK" w:eastAsia="方正仿宋_GBK" w:cs="方正仿宋_GBK"/>
          <w:b w:val="0"/>
          <w:bCs w:val="0"/>
          <w:kern w:val="2"/>
          <w:sz w:val="32"/>
          <w:szCs w:val="32"/>
          <w:highlight w:val="none"/>
          <w:lang w:val="en-US" w:eastAsia="zh-CN" w:bidi="ar-SA"/>
        </w:rPr>
        <w:t>二组。</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仿宋_GBK" w:hAnsi="方正仿宋_GBK" w:eastAsia="方正仿宋_GBK" w:cs="方正仿宋_GBK"/>
          <w:b/>
          <w:bCs/>
          <w:kern w:val="2"/>
          <w:sz w:val="32"/>
          <w:szCs w:val="32"/>
          <w:highlight w:val="none"/>
          <w:lang w:val="en-US" w:eastAsia="zh-CN" w:bidi="ar-SA"/>
        </w:rPr>
        <w:t>1.公共基础课程组：</w:t>
      </w:r>
      <w:r>
        <w:rPr>
          <w:rStyle w:val="20"/>
          <w:rFonts w:hint="eastAsia" w:ascii="方正仿宋_GBK" w:hAnsi="方正仿宋_GBK" w:eastAsia="方正仿宋_GBK" w:cs="方正仿宋_GBK"/>
          <w:b w:val="0"/>
          <w:bCs w:val="0"/>
          <w:kern w:val="2"/>
          <w:sz w:val="32"/>
          <w:szCs w:val="32"/>
          <w:highlight w:val="none"/>
          <w:lang w:val="en-US" w:eastAsia="zh-CN" w:bidi="ar-SA"/>
        </w:rPr>
        <w:t>参赛内容应为有关课程中不少于12学时连续、完整的教学内容。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sz w:val="32"/>
          <w:szCs w:val="32"/>
        </w:rPr>
      </w:pPr>
      <w:r>
        <w:rPr>
          <w:rStyle w:val="20"/>
          <w:rFonts w:hint="eastAsia" w:ascii="方正仿宋_GBK" w:hAnsi="方正仿宋_GBK" w:eastAsia="方正仿宋_GBK" w:cs="方正仿宋_GBK"/>
          <w:b/>
          <w:bCs/>
          <w:kern w:val="2"/>
          <w:sz w:val="32"/>
          <w:szCs w:val="32"/>
          <w:lang w:val="en-US" w:eastAsia="zh-CN" w:bidi="ar-SA"/>
        </w:rPr>
        <w:t>2.专</w:t>
      </w:r>
      <w:r>
        <w:rPr>
          <w:rStyle w:val="20"/>
          <w:rFonts w:hint="eastAsia" w:ascii="方正仿宋_GBK" w:hAnsi="方正仿宋_GBK" w:eastAsia="方正仿宋_GBK" w:cs="方正仿宋_GBK"/>
          <w:b/>
          <w:bCs/>
          <w:kern w:val="2"/>
          <w:sz w:val="32"/>
          <w:szCs w:val="32"/>
          <w:highlight w:val="none"/>
          <w:lang w:val="en-US" w:eastAsia="zh-CN" w:bidi="ar-SA"/>
        </w:rPr>
        <w:t>业（技能）课程一组</w:t>
      </w:r>
      <w:r>
        <w:rPr>
          <w:rStyle w:val="20"/>
          <w:rFonts w:hint="eastAsia" w:ascii="方正仿宋_GBK" w:hAnsi="方正仿宋_GBK" w:eastAsia="方正仿宋_GBK" w:cs="方正仿宋_GBK"/>
          <w:b w:val="0"/>
          <w:bCs w:val="0"/>
          <w:kern w:val="2"/>
          <w:sz w:val="32"/>
          <w:szCs w:val="32"/>
          <w:highlight w:val="none"/>
          <w:lang w:val="en-US" w:eastAsia="zh-CN" w:bidi="ar-SA"/>
        </w:rPr>
        <w:t>：</w:t>
      </w:r>
      <w:r>
        <w:rPr>
          <w:rFonts w:hint="eastAsia" w:ascii="方正仿宋_GBK" w:hAnsi="方正仿宋_GBK" w:eastAsia="方正仿宋_GBK" w:cs="方正仿宋_GBK"/>
          <w:color w:val="000000"/>
          <w:kern w:val="0"/>
          <w:sz w:val="32"/>
          <w:szCs w:val="32"/>
          <w:lang w:val="en-US" w:eastAsia="zh-CN" w:bidi="ar"/>
        </w:rPr>
        <w:t>参赛内容应为专业（技能）课程中不少于16学时连续、完整的教学内容。高职组的参赛课程应为专业基础课、专业核心课或专业拓展课。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仿宋_GBK" w:hAnsi="方正仿宋_GBK" w:eastAsia="方正仿宋_GBK" w:cs="方正仿宋_GBK"/>
          <w:b/>
          <w:bCs/>
          <w:kern w:val="2"/>
          <w:sz w:val="32"/>
          <w:szCs w:val="32"/>
          <w:highlight w:val="none"/>
          <w:lang w:val="en-US" w:eastAsia="zh-CN" w:bidi="ar-SA"/>
        </w:rPr>
        <w:t>3.专业（技能）课程二组：</w:t>
      </w:r>
      <w:r>
        <w:rPr>
          <w:rFonts w:hint="eastAsia" w:ascii="方正仿宋_GBK" w:hAnsi="方正仿宋_GBK" w:eastAsia="方正仿宋_GBK" w:cs="方正仿宋_GBK"/>
          <w:color w:val="000000"/>
          <w:kern w:val="0"/>
          <w:sz w:val="32"/>
          <w:szCs w:val="32"/>
          <w:lang w:val="en-US" w:eastAsia="zh-CN" w:bidi="ar"/>
        </w:rPr>
        <w:t>参赛内容应为专业（技能）课程中不少于1 6学时连续、完整的以实践教学为主的教学内容或专周实习实训、岗位实习等实践环节教学内容，参赛内容中体现教师实操演示与指导的内容不少于8学时。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Style w:val="20"/>
          <w:rFonts w:hint="eastAsia" w:ascii="方正黑体_GBK" w:hAnsi="方正黑体_GBK" w:eastAsia="方正黑体_GBK" w:cs="方正黑体_GBK"/>
          <w:b w:val="0"/>
          <w:bCs w:val="0"/>
          <w:kern w:val="2"/>
          <w:sz w:val="32"/>
          <w:szCs w:val="32"/>
          <w:lang w:val="en-US" w:eastAsia="zh-CN" w:bidi="ar-SA"/>
        </w:rPr>
      </w:pPr>
      <w:r>
        <w:rPr>
          <w:rStyle w:val="20"/>
          <w:rFonts w:hint="eastAsia" w:ascii="方正黑体_GBK" w:hAnsi="方正黑体_GBK" w:eastAsia="方正黑体_GBK" w:cs="方正黑体_GBK"/>
          <w:b w:val="0"/>
          <w:bCs w:val="0"/>
          <w:kern w:val="2"/>
          <w:sz w:val="32"/>
          <w:szCs w:val="32"/>
          <w:lang w:val="en-US" w:eastAsia="zh-CN" w:bidi="ar-SA"/>
        </w:rPr>
        <w:t xml:space="preserve">四、大赛材料提交 </w:t>
      </w:r>
    </w:p>
    <w:p>
      <w:pPr>
        <w:keepNext w:val="0"/>
        <w:keepLines w:val="0"/>
        <w:pageBreakBefore w:val="0"/>
        <w:kinsoku/>
        <w:wordWrap/>
        <w:overflowPunct/>
        <w:topLinePunct w:val="0"/>
        <w:autoSpaceDE/>
        <w:autoSpaceDN/>
        <w:bidi w:val="0"/>
        <w:adjustRightInd/>
        <w:snapToGrid/>
        <w:spacing w:line="560" w:lineRule="exact"/>
        <w:ind w:right="0" w:firstLine="640" w:firstLineChars="2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仿宋_GBK" w:hAnsi="方正仿宋_GBK" w:eastAsia="方正仿宋_GBK" w:cs="方正仿宋_GBK"/>
          <w:b w:val="0"/>
          <w:bCs w:val="0"/>
          <w:kern w:val="2"/>
          <w:sz w:val="32"/>
          <w:szCs w:val="32"/>
          <w:lang w:val="en-US" w:eastAsia="zh-CN" w:bidi="ar-SA"/>
        </w:rPr>
        <w:t>所有文档材料均要求规范、简明、完整、朴实，正文使用小四号字、单倍行距，禁用以装饰为目的的图片或照片，以PDF格式提交，每个文件大小不超过100M。</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Style w:val="20"/>
          <w:rFonts w:hint="eastAsia" w:ascii="方正楷体_GBK" w:hAnsi="方正楷体_GBK" w:eastAsia="方正楷体_GBK" w:cs="方正楷体_GBK"/>
          <w:b/>
          <w:bCs/>
          <w:kern w:val="2"/>
          <w:sz w:val="32"/>
          <w:szCs w:val="32"/>
          <w:highlight w:val="none"/>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（一）参赛教案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教学团队根据提交的专业人才培养方案和课程标准（公共基础课程以教育部印发的相应课程标准为准），选取该课程在一个学期中符合规定的教学内容，撰写实际使用的教案。教案应包括授课信息、任务目标、学情分析、教学策略、活动安排、课后反思等教学基本要素，要求设计合理、重点突出、前后衔接、规范完整、详略得当（其中课中教学活动安排占主要篇幅），体现具体的教学内容、活动及时间分配，能够有效指导教学实施，课后对授课实效、存在不足、改进设想进行客观深入反思。原则上每份教案的教学时长不超过2学时，专周实习实训、岗位实习，以及有场地设备特殊要求的实训教学内容可连续安排3-4学时。专周实习实训、岗位实习的教案应符合真实项目、岗位实践教学实际。每次课的教案按序逐一标明序号，合并为一个文件提交。</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Style w:val="20"/>
          <w:rFonts w:hint="eastAsia" w:ascii="方正楷体_GBK" w:hAnsi="方正楷体_GBK" w:eastAsia="方正楷体_GBK" w:cs="方正楷体_GBK"/>
          <w:b/>
          <w:bCs/>
          <w:kern w:val="2"/>
          <w:sz w:val="32"/>
          <w:szCs w:val="32"/>
          <w:highlight w:val="none"/>
          <w:lang w:val="en-US" w:eastAsia="zh-CN" w:bidi="ar-SA"/>
        </w:rPr>
      </w:pPr>
      <w:r>
        <w:rPr>
          <w:rStyle w:val="20"/>
          <w:rFonts w:hint="eastAsia" w:ascii="方正楷体_GBK" w:hAnsi="方正楷体_GBK" w:eastAsia="方正楷体_GBK" w:cs="方正楷体_GBK"/>
          <w:b/>
          <w:bCs/>
          <w:kern w:val="2"/>
          <w:sz w:val="32"/>
          <w:szCs w:val="32"/>
          <w:highlight w:val="none"/>
          <w:lang w:val="en-US" w:eastAsia="zh-CN" w:bidi="ar-SA"/>
        </w:rPr>
        <w:t>（二）教学实施报告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Fonts w:hint="eastAsia" w:ascii="方正仿宋_GBK" w:hAnsi="方正仿宋_GBK" w:eastAsia="方正仿宋_GBK" w:cs="方正仿宋_GBK"/>
          <w:color w:val="000000"/>
          <w:kern w:val="0"/>
          <w:sz w:val="32"/>
          <w:szCs w:val="32"/>
          <w:lang w:val="en-US" w:eastAsia="zh-CN" w:bidi="ar"/>
        </w:rPr>
        <w:t>教学团队针对本课程教学实践中的重点难点问题开展研究和实践，完成教学设计、实施课堂教学，撰写1份教学实施报告。报告应总结参赛内容的教学整体设计、教学实施过程、学生学习效果、反思改进措施等方面情况，突出重点和特色，体现创新举措和具体成效，可用图表加以佐证。中文字符在5000字以内（文末注明正文“中文字符统计数”），插入的图表应有针对性、有效性，图表尺寸合适、文字清晰可见，不超过12张。</w:t>
      </w:r>
    </w:p>
    <w:p>
      <w:pPr>
        <w:keepNext w:val="0"/>
        <w:keepLines w:val="0"/>
        <w:pageBreakBefore w:val="0"/>
        <w:kinsoku/>
        <w:wordWrap/>
        <w:overflowPunct/>
        <w:topLinePunct w:val="0"/>
        <w:autoSpaceDE/>
        <w:autoSpaceDN/>
        <w:bidi w:val="0"/>
        <w:adjustRightInd/>
        <w:snapToGrid/>
        <w:spacing w:line="560" w:lineRule="exact"/>
        <w:ind w:right="0" w:firstLine="643" w:firstLineChars="200"/>
        <w:jc w:val="left"/>
        <w:textAlignment w:val="auto"/>
        <w:rPr>
          <w:rStyle w:val="20"/>
          <w:rFonts w:hint="eastAsia" w:ascii="方正仿宋_GBK" w:hAnsi="方正仿宋_GBK" w:eastAsia="方正仿宋_GBK" w:cs="方正仿宋_GBK"/>
          <w:b/>
          <w:bCs/>
          <w:kern w:val="2"/>
          <w:sz w:val="32"/>
          <w:szCs w:val="32"/>
          <w:highlight w:val="none"/>
          <w:lang w:val="en-US" w:eastAsia="zh-CN" w:bidi="ar-SA"/>
        </w:rPr>
      </w:pPr>
      <w:r>
        <w:rPr>
          <w:rStyle w:val="20"/>
          <w:rFonts w:hint="eastAsia" w:ascii="方正仿宋_GBK" w:hAnsi="方正仿宋_GBK" w:eastAsia="方正仿宋_GBK" w:cs="方正仿宋_GBK"/>
          <w:b/>
          <w:bCs/>
          <w:kern w:val="2"/>
          <w:sz w:val="32"/>
          <w:szCs w:val="32"/>
          <w:highlight w:val="none"/>
          <w:lang w:val="en-US" w:eastAsia="zh-CN" w:bidi="ar-SA"/>
        </w:rPr>
        <w:t>参赛教案及教学实施报告等相关参赛材料的电子档请各参赛团队于4月14日前登陆超星大赛平台：http://zykqjsjxnljs05.contest.chaoxing.com/portal上传资料。</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Style w:val="20"/>
          <w:rFonts w:hint="eastAsia" w:ascii="方正黑体_GBK" w:hAnsi="方正黑体_GBK" w:eastAsia="方正黑体_GBK" w:cs="方正黑体_GBK"/>
          <w:b w:val="0"/>
          <w:bCs w:val="0"/>
          <w:kern w:val="2"/>
          <w:sz w:val="32"/>
          <w:szCs w:val="32"/>
          <w:lang w:val="en-US" w:eastAsia="zh-CN" w:bidi="ar-SA"/>
        </w:rPr>
      </w:pPr>
      <w:r>
        <w:rPr>
          <w:rStyle w:val="20"/>
          <w:rFonts w:hint="eastAsia" w:ascii="方正黑体_GBK" w:hAnsi="方正黑体_GBK" w:eastAsia="方正黑体_GBK" w:cs="方正黑体_GBK"/>
          <w:b w:val="0"/>
          <w:bCs w:val="0"/>
          <w:kern w:val="2"/>
          <w:sz w:val="32"/>
          <w:szCs w:val="32"/>
          <w:lang w:val="en-US" w:eastAsia="zh-CN" w:bidi="ar-SA"/>
        </w:rPr>
        <w:t>五、现场大赛要求及流程</w:t>
      </w:r>
    </w:p>
    <w:p>
      <w:pPr>
        <w:pStyle w:val="21"/>
        <w:keepNext w:val="0"/>
        <w:keepLines w:val="0"/>
        <w:pageBreakBefore w:val="0"/>
        <w:widowControl w:val="0"/>
        <w:numPr>
          <w:ilvl w:val="0"/>
          <w:numId w:val="0"/>
        </w:numPr>
        <w:tabs>
          <w:tab w:val="left" w:pos="1092"/>
        </w:tabs>
        <w:kinsoku/>
        <w:wordWrap/>
        <w:overflowPunct/>
        <w:topLinePunct w:val="0"/>
        <w:autoSpaceDE w:val="0"/>
        <w:autoSpaceDN w:val="0"/>
        <w:bidi w:val="0"/>
        <w:adjustRightInd/>
        <w:snapToGrid/>
        <w:spacing w:before="0" w:after="0" w:line="540" w:lineRule="exact"/>
        <w:ind w:right="0" w:rightChars="0"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kern w:val="2"/>
          <w:sz w:val="32"/>
          <w:szCs w:val="32"/>
          <w:lang w:val="en-US" w:eastAsia="zh-CN" w:bidi="ar-SA"/>
        </w:rPr>
        <w:t>（一）参赛团队</w:t>
      </w:r>
      <w:r>
        <w:rPr>
          <w:rStyle w:val="20"/>
          <w:rFonts w:hint="eastAsia" w:ascii="方正仿宋_GBK" w:hAnsi="方正仿宋_GBK" w:eastAsia="方正仿宋_GBK" w:cs="方正仿宋_GBK"/>
          <w:b w:val="0"/>
          <w:bCs w:val="0"/>
          <w:kern w:val="2"/>
          <w:sz w:val="32"/>
          <w:szCs w:val="32"/>
          <w:highlight w:val="none"/>
          <w:lang w:val="en-US" w:eastAsia="zh-CN" w:bidi="ar-SA"/>
        </w:rPr>
        <w:t>负责人于</w:t>
      </w:r>
      <w:r>
        <w:rPr>
          <w:rStyle w:val="20"/>
          <w:rFonts w:hint="eastAsia" w:ascii="方正仿宋_GBK" w:hAnsi="方正仿宋_GBK" w:eastAsia="方正仿宋_GBK" w:cs="方正仿宋_GBK"/>
          <w:b w:val="0"/>
          <w:bCs w:val="0"/>
          <w:color w:val="auto"/>
          <w:kern w:val="2"/>
          <w:sz w:val="32"/>
          <w:szCs w:val="32"/>
          <w:highlight w:val="none"/>
          <w:lang w:val="en-US" w:eastAsia="zh-CN" w:bidi="ar-SA"/>
        </w:rPr>
        <w:t>4月15日抽</w:t>
      </w:r>
      <w:r>
        <w:rPr>
          <w:rStyle w:val="20"/>
          <w:rFonts w:hint="eastAsia" w:ascii="方正仿宋_GBK" w:hAnsi="方正仿宋_GBK" w:eastAsia="方正仿宋_GBK" w:cs="方正仿宋_GBK"/>
          <w:b w:val="0"/>
          <w:bCs w:val="0"/>
          <w:kern w:val="2"/>
          <w:sz w:val="32"/>
          <w:szCs w:val="32"/>
          <w:highlight w:val="none"/>
          <w:lang w:val="en-US" w:eastAsia="zh-CN" w:bidi="ar-SA"/>
        </w:rPr>
        <w:t>签决定比赛顺序。</w:t>
      </w:r>
    </w:p>
    <w:p>
      <w:pPr>
        <w:pStyle w:val="21"/>
        <w:keepNext w:val="0"/>
        <w:keepLines w:val="0"/>
        <w:pageBreakBefore w:val="0"/>
        <w:widowControl w:val="0"/>
        <w:numPr>
          <w:ilvl w:val="0"/>
          <w:numId w:val="0"/>
        </w:numPr>
        <w:tabs>
          <w:tab w:val="left" w:pos="1092"/>
        </w:tabs>
        <w:kinsoku/>
        <w:wordWrap/>
        <w:overflowPunct/>
        <w:topLinePunct w:val="0"/>
        <w:autoSpaceDE w:val="0"/>
        <w:autoSpaceDN w:val="0"/>
        <w:bidi w:val="0"/>
        <w:adjustRightInd/>
        <w:snapToGrid/>
        <w:spacing w:before="0" w:after="0" w:line="540" w:lineRule="exact"/>
        <w:ind w:right="0" w:rightChars="0" w:firstLine="640" w:firstLineChars="200"/>
        <w:jc w:val="left"/>
        <w:textAlignment w:val="auto"/>
        <w:rPr>
          <w:rStyle w:val="20"/>
          <w:rFonts w:hint="eastAsia"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kern w:val="2"/>
          <w:sz w:val="32"/>
          <w:szCs w:val="32"/>
          <w:highlight w:val="none"/>
          <w:lang w:val="en-US" w:eastAsia="zh-CN" w:bidi="ar-SA"/>
        </w:rPr>
        <w:t>（二）比赛当天，参赛团队按抽签顺序进行比赛，参赛团队自选教案中内容进行准备。</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仿宋_GBK" w:hAnsi="方正仿宋_GBK" w:eastAsia="方正仿宋_GBK" w:cs="方正仿宋_GBK"/>
          <w:b w:val="0"/>
          <w:bCs w:val="0"/>
          <w:kern w:val="2"/>
          <w:sz w:val="32"/>
          <w:szCs w:val="32"/>
          <w:highlight w:val="none"/>
          <w:lang w:val="en-US" w:eastAsia="zh-CN" w:bidi="ar-SA"/>
        </w:rPr>
        <w:t>（三）教学团队开始比赛时首先</w:t>
      </w:r>
      <w:r>
        <w:rPr>
          <w:rStyle w:val="20"/>
          <w:rFonts w:hint="eastAsia" w:ascii="方正仿宋_GBK" w:hAnsi="方正仿宋_GBK" w:eastAsia="方正仿宋_GBK" w:cs="方正仿宋_GBK"/>
          <w:b w:val="0"/>
          <w:bCs w:val="0"/>
          <w:kern w:val="2"/>
          <w:sz w:val="32"/>
          <w:szCs w:val="32"/>
          <w:lang w:val="en-US" w:eastAsia="zh-CN" w:bidi="ar-SA"/>
        </w:rPr>
        <w:t>简要介绍教学实施报告的主要内容、创新特色；然后由两名参赛教师分别针对不同教案中的自选内容进行无学生教学展示（如：新知讲解、示</w:t>
      </w:r>
      <w:r>
        <w:rPr>
          <w:rStyle w:val="20"/>
          <w:rFonts w:hint="eastAsia" w:ascii="方正仿宋_GBK" w:hAnsi="方正仿宋_GBK" w:eastAsia="方正仿宋_GBK" w:cs="方正仿宋_GBK"/>
          <w:b w:val="0"/>
          <w:bCs w:val="0"/>
          <w:kern w:val="2"/>
          <w:sz w:val="32"/>
          <w:szCs w:val="32"/>
          <w:highlight w:val="none"/>
          <w:lang w:val="en-US" w:eastAsia="zh-CN" w:bidi="ar-SA"/>
        </w:rPr>
        <w:t>范操作、学习结果分析、课堂教学小结等。）介绍教学实施报告时间不超过6分钟，两段无学生教学展示合计时间12-16分钟。（</w:t>
      </w:r>
      <w:r>
        <w:rPr>
          <w:rStyle w:val="20"/>
          <w:rFonts w:hint="eastAsia" w:ascii="方正仿宋_GBK" w:hAnsi="方正仿宋_GBK" w:eastAsia="方正仿宋_GBK" w:cs="方正仿宋_GBK"/>
          <w:b w:val="0"/>
          <w:bCs w:val="0"/>
          <w:kern w:val="2"/>
          <w:sz w:val="32"/>
          <w:szCs w:val="32"/>
          <w:lang w:val="en-US" w:eastAsia="zh-CN" w:bidi="ar-SA"/>
        </w:rPr>
        <w:t>若授课内容有实训课程，请提前准备好实训器材进行授课）</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Style w:val="20"/>
          <w:rFonts w:hint="default" w:ascii="方正黑体_GBK" w:hAnsi="方正黑体_GBK" w:eastAsia="方正黑体_GBK" w:cs="方正黑体_GBK"/>
          <w:b w:val="0"/>
          <w:bCs w:val="0"/>
          <w:kern w:val="2"/>
          <w:sz w:val="32"/>
          <w:szCs w:val="32"/>
          <w:lang w:val="en-US" w:eastAsia="zh-CN" w:bidi="ar-SA"/>
        </w:rPr>
      </w:pPr>
      <w:r>
        <w:rPr>
          <w:rStyle w:val="20"/>
          <w:rFonts w:hint="eastAsia" w:ascii="方正黑体_GBK" w:hAnsi="方正黑体_GBK" w:eastAsia="方正黑体_GBK" w:cs="方正黑体_GBK"/>
          <w:b w:val="0"/>
          <w:bCs w:val="0"/>
          <w:kern w:val="2"/>
          <w:sz w:val="32"/>
          <w:szCs w:val="32"/>
          <w:lang w:val="en-US" w:eastAsia="zh-CN" w:bidi="ar-SA"/>
        </w:rPr>
        <w:t>六、奖项设置</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Style w:val="20"/>
          <w:rFonts w:hint="default" w:ascii="方正仿宋_GBK" w:hAnsi="方正仿宋_GBK" w:eastAsia="方正仿宋_GBK" w:cs="方正仿宋_GBK"/>
          <w:b w:val="0"/>
          <w:bCs w:val="0"/>
          <w:kern w:val="2"/>
          <w:sz w:val="32"/>
          <w:szCs w:val="32"/>
          <w:highlight w:val="none"/>
          <w:lang w:val="en-US" w:eastAsia="zh-CN" w:bidi="ar-SA"/>
        </w:rPr>
      </w:pPr>
      <w:r>
        <w:rPr>
          <w:rStyle w:val="20"/>
          <w:rFonts w:hint="eastAsia" w:ascii="方正仿宋_GBK" w:hAnsi="方正仿宋_GBK" w:eastAsia="方正仿宋_GBK" w:cs="方正仿宋_GBK"/>
          <w:b w:val="0"/>
          <w:bCs w:val="0"/>
          <w:kern w:val="2"/>
          <w:sz w:val="32"/>
          <w:szCs w:val="32"/>
          <w:highlight w:val="none"/>
          <w:lang w:val="en-US" w:eastAsia="zh-CN" w:bidi="ar-SA"/>
        </w:rPr>
        <w:t>评委按照《第五届教师教学能力大赛评分细则》对参赛团队进行评分，所有团队统一排名。本次大赛评出前三名，由评委总分的平均得分从高至低依次排序，分别评出一、二、三等奖各一支团队、优秀奖五支团队。</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Style w:val="20"/>
          <w:rFonts w:hint="eastAsia" w:ascii="方正黑体_GBK" w:hAnsi="方正黑体_GBK" w:eastAsia="方正黑体_GBK" w:cs="方正黑体_GBK"/>
          <w:b w:val="0"/>
          <w:bCs w:val="0"/>
          <w:kern w:val="2"/>
          <w:sz w:val="32"/>
          <w:szCs w:val="32"/>
          <w:lang w:val="en-US" w:eastAsia="zh-CN" w:bidi="ar-SA"/>
        </w:rPr>
      </w:pPr>
      <w:r>
        <w:rPr>
          <w:rStyle w:val="20"/>
          <w:rFonts w:hint="eastAsia" w:ascii="方正黑体_GBK" w:hAnsi="方正黑体_GBK" w:eastAsia="方正黑体_GBK" w:cs="方正黑体_GBK"/>
          <w:b w:val="0"/>
          <w:bCs w:val="0"/>
          <w:kern w:val="2"/>
          <w:sz w:val="32"/>
          <w:szCs w:val="32"/>
          <w:lang w:val="en-US" w:eastAsia="zh-CN" w:bidi="ar-SA"/>
        </w:rPr>
        <w:t>七、参考资料</w:t>
      </w:r>
    </w:p>
    <w:p>
      <w:pPr>
        <w:keepNext w:val="0"/>
        <w:keepLines w:val="0"/>
        <w:pageBreakBefore w:val="0"/>
        <w:numPr>
          <w:ilvl w:val="0"/>
          <w:numId w:val="0"/>
        </w:numPr>
        <w:kinsoku/>
        <w:wordWrap/>
        <w:overflowPunct/>
        <w:topLinePunct w:val="0"/>
        <w:autoSpaceDE/>
        <w:autoSpaceDN/>
        <w:bidi w:val="0"/>
        <w:adjustRightInd/>
        <w:snapToGrid/>
        <w:spacing w:line="540" w:lineRule="exact"/>
        <w:ind w:right="0" w:firstLine="640" w:firstLineChars="2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仿宋_GBK" w:hAnsi="方正仿宋_GBK" w:eastAsia="方正仿宋_GBK" w:cs="方正仿宋_GBK"/>
          <w:b w:val="0"/>
          <w:bCs w:val="0"/>
          <w:kern w:val="2"/>
          <w:sz w:val="32"/>
          <w:szCs w:val="32"/>
          <w:lang w:val="en-US" w:eastAsia="zh-CN" w:bidi="ar-SA"/>
        </w:rPr>
        <w:t>教学团队可选用免费提供的国家职业教育专业教学资源库、国家级精品资源共享课、职业学校企业生产实际教学案例库等相关教学资源进行教学设计和实际教学，相关资源可从比赛教学资源支持平台（智慧职教www.icve.com.cn 、爱课程网www.icourses.cn）获取，或登录比赛官方网站有关链接。）</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Style w:val="20"/>
          <w:rFonts w:hint="eastAsia" w:ascii="方正黑体_GBK" w:hAnsi="方正黑体_GBK" w:eastAsia="方正黑体_GBK" w:cs="方正黑体_GBK"/>
          <w:b w:val="0"/>
          <w:bCs w:val="0"/>
          <w:kern w:val="2"/>
          <w:sz w:val="32"/>
          <w:szCs w:val="32"/>
          <w:lang w:val="en-US" w:eastAsia="zh-CN" w:bidi="ar-SA"/>
        </w:rPr>
      </w:pPr>
      <w:r>
        <w:rPr>
          <w:rStyle w:val="20"/>
          <w:rFonts w:hint="eastAsia" w:ascii="方正黑体_GBK" w:hAnsi="方正黑体_GBK" w:eastAsia="方正黑体_GBK" w:cs="方正黑体_GBK"/>
          <w:b w:val="0"/>
          <w:bCs w:val="0"/>
          <w:kern w:val="2"/>
          <w:sz w:val="32"/>
          <w:szCs w:val="32"/>
          <w:lang w:val="en-US" w:eastAsia="zh-CN" w:bidi="ar-SA"/>
        </w:rPr>
        <w:t>八、推选市级、省级教师大赛要求</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firstLine="640" w:firstLineChars="200"/>
        <w:jc w:val="left"/>
        <w:textAlignment w:val="auto"/>
        <w:rPr>
          <w:rStyle w:val="20"/>
          <w:rFonts w:hint="eastAsia" w:ascii="方正仿宋_GBK" w:hAnsi="方正仿宋_GBK" w:eastAsia="方正仿宋_GBK" w:cs="方正仿宋_GBK"/>
          <w:b/>
          <w:bCs/>
          <w:kern w:val="2"/>
          <w:sz w:val="32"/>
          <w:szCs w:val="32"/>
          <w:lang w:val="en-US" w:eastAsia="zh-CN" w:bidi="ar-SA"/>
        </w:rPr>
      </w:pPr>
      <w:r>
        <w:rPr>
          <w:rStyle w:val="20"/>
          <w:rFonts w:hint="eastAsia" w:ascii="方正仿宋_GBK" w:hAnsi="方正仿宋_GBK" w:eastAsia="方正仿宋_GBK" w:cs="方正仿宋_GBK"/>
          <w:b w:val="0"/>
          <w:bCs w:val="0"/>
          <w:kern w:val="2"/>
          <w:sz w:val="32"/>
          <w:szCs w:val="32"/>
          <w:lang w:val="en-US" w:eastAsia="zh-CN" w:bidi="ar-SA"/>
        </w:rPr>
        <w:t>2024年参加资阳市及四川省的教师教学大赛团队将根据本次大赛择优推荐。请各系部的老师本着相互学习，共同进步的原则认真准备</w:t>
      </w:r>
      <w:r>
        <w:rPr>
          <w:rStyle w:val="20"/>
          <w:rFonts w:hint="eastAsia" w:ascii="方正仿宋_GBK" w:hAnsi="方正仿宋_GBK" w:eastAsia="方正仿宋_GBK" w:cs="方正仿宋_GBK"/>
          <w:b/>
          <w:bCs/>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1598" w:leftChars="304" w:right="0" w:rightChars="0" w:hanging="960" w:hangingChars="30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仿宋_GBK" w:hAnsi="方正仿宋_GBK" w:eastAsia="方正仿宋_GBK" w:cs="方正仿宋_GBK"/>
          <w:b w:val="0"/>
          <w:bCs w:val="0"/>
          <w:kern w:val="2"/>
          <w:sz w:val="32"/>
          <w:szCs w:val="32"/>
          <w:lang w:val="en-US" w:eastAsia="zh-CN" w:bidi="ar-SA"/>
        </w:rPr>
        <w:t>附件：1.第五届教师教学能力大赛公共基础课程组评分指标</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1596" w:leftChars="760" w:right="0" w:rightChars="0" w:firstLine="0" w:firstLineChars="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仿宋_GBK" w:hAnsi="方正仿宋_GBK" w:eastAsia="方正仿宋_GBK" w:cs="方正仿宋_GBK"/>
          <w:b w:val="0"/>
          <w:bCs w:val="0"/>
          <w:kern w:val="2"/>
          <w:sz w:val="32"/>
          <w:szCs w:val="32"/>
          <w:lang w:val="en-US" w:eastAsia="zh-CN" w:bidi="ar-SA"/>
        </w:rPr>
        <w:t>2.第五届教师教学能力大赛专业（技能）课程组评分指标</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1596" w:leftChars="760" w:right="0" w:rightChars="0" w:firstLine="0" w:firstLineChars="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仿宋_GBK" w:hAnsi="方正仿宋_GBK" w:eastAsia="方正仿宋_GBK" w:cs="方正仿宋_GBK"/>
          <w:b w:val="0"/>
          <w:bCs w:val="0"/>
          <w:kern w:val="2"/>
          <w:sz w:val="32"/>
          <w:szCs w:val="32"/>
          <w:lang w:val="en-US" w:eastAsia="zh-CN" w:bidi="ar-SA"/>
        </w:rPr>
        <w:t>3.第五届教师教学能力大赛参赛报名表</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1596" w:leftChars="760" w:right="0" w:rightChars="0" w:firstLine="0" w:firstLineChars="0"/>
        <w:jc w:val="left"/>
        <w:textAlignment w:val="auto"/>
        <w:rPr>
          <w:rStyle w:val="20"/>
          <w:rFonts w:hint="eastAsia" w:ascii="方正仿宋_GBK" w:hAnsi="方正仿宋_GBK" w:eastAsia="方正仿宋_GBK" w:cs="方正仿宋_GBK"/>
          <w:b w:val="0"/>
          <w:bCs w:val="0"/>
          <w:kern w:val="2"/>
          <w:sz w:val="32"/>
          <w:szCs w:val="32"/>
          <w:lang w:val="en-US" w:eastAsia="zh-CN" w:bidi="ar-SA"/>
        </w:rPr>
      </w:pPr>
      <w:r>
        <w:rPr>
          <w:rStyle w:val="20"/>
          <w:rFonts w:hint="eastAsia" w:ascii="方正仿宋_GBK" w:hAnsi="方正仿宋_GBK" w:eastAsia="方正仿宋_GBK" w:cs="方正仿宋_GBK"/>
          <w:b w:val="0"/>
          <w:bCs w:val="0"/>
          <w:kern w:val="2"/>
          <w:sz w:val="32"/>
          <w:szCs w:val="32"/>
          <w:lang w:val="en-US" w:eastAsia="zh-CN" w:bidi="ar-SA"/>
        </w:rPr>
        <w:t>4.第五届教师教学能力大赛参赛教师基本信息</w:t>
      </w: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600" w:lineRule="exact"/>
        <w:ind w:left="0" w:leftChars="0" w:right="1123" w:firstLine="0" w:firstLineChars="0"/>
        <w:jc w:val="both"/>
        <w:textAlignment w:val="auto"/>
        <w:rPr>
          <w:rStyle w:val="20"/>
          <w:rFonts w:hint="eastAsia" w:ascii="方正小标宋_GBK" w:hAnsi="方正小标宋_GBK" w:eastAsia="方正小标宋_GBK" w:cs="方正小标宋_GBK"/>
          <w:b w:val="0"/>
          <w:bCs w:val="0"/>
          <w:sz w:val="32"/>
          <w:szCs w:val="32"/>
          <w:lang w:val="en-US" w:eastAsia="zh-CN"/>
        </w:rPr>
      </w:pPr>
      <w:r>
        <w:rPr>
          <w:rStyle w:val="20"/>
          <w:rFonts w:hint="eastAsia" w:ascii="方正黑体_GBK" w:hAnsi="方正黑体_GBK" w:eastAsia="方正黑体_GBK" w:cs="方正黑体_GBK"/>
          <w:b w:val="0"/>
          <w:bCs w:val="0"/>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20"/>
          <w:rFonts w:hint="eastAsia" w:ascii="方正小标宋_GBK" w:hAnsi="方正小标宋_GBK" w:eastAsia="方正小标宋_GBK" w:cs="方正小标宋_GBK"/>
          <w:b w:val="0"/>
          <w:bCs w:val="0"/>
          <w:kern w:val="2"/>
          <w:sz w:val="36"/>
          <w:szCs w:val="36"/>
          <w:lang w:val="en-US" w:eastAsia="zh-CN" w:bidi="ar-SA"/>
        </w:rPr>
      </w:pPr>
      <w:r>
        <w:rPr>
          <w:rStyle w:val="20"/>
          <w:rFonts w:hint="eastAsia" w:ascii="方正小标宋_GBK" w:hAnsi="方正小标宋_GBK" w:eastAsia="方正小标宋_GBK" w:cs="方正小标宋_GBK"/>
          <w:b w:val="0"/>
          <w:bCs w:val="0"/>
          <w:kern w:val="2"/>
          <w:sz w:val="36"/>
          <w:szCs w:val="36"/>
          <w:lang w:val="en-US" w:eastAsia="zh-CN" w:bidi="ar-SA"/>
        </w:rPr>
        <w:t>第五届教师教学能力大赛公共基础课程组</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lang w:val="en-US" w:eastAsia="zh-CN"/>
        </w:rPr>
      </w:pPr>
      <w:r>
        <w:rPr>
          <w:rStyle w:val="20"/>
          <w:rFonts w:hint="eastAsia" w:ascii="方正小标宋_GBK" w:hAnsi="方正小标宋_GBK" w:eastAsia="方正小标宋_GBK" w:cs="方正小标宋_GBK"/>
          <w:b w:val="0"/>
          <w:bCs w:val="0"/>
          <w:kern w:val="2"/>
          <w:sz w:val="36"/>
          <w:szCs w:val="36"/>
          <w:lang w:val="en-US" w:eastAsia="zh-CN" w:bidi="ar-SA"/>
        </w:rPr>
        <w:t>评分指标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671"/>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00" w:type="dxa"/>
            <w:noWrap w:val="0"/>
            <w:vAlign w:val="top"/>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评价指标</w:t>
            </w:r>
          </w:p>
        </w:tc>
        <w:tc>
          <w:tcPr>
            <w:tcW w:w="671"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分值</w:t>
            </w:r>
          </w:p>
        </w:tc>
        <w:tc>
          <w:tcPr>
            <w:tcW w:w="7051"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800"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目标与  学情</w:t>
            </w:r>
          </w:p>
        </w:tc>
        <w:tc>
          <w:tcPr>
            <w:tcW w:w="67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w:t>
            </w:r>
          </w:p>
        </w:tc>
        <w:tc>
          <w:tcPr>
            <w:tcW w:w="7051" w:type="dxa"/>
            <w:noWrap w:val="0"/>
            <w:vAlign w:val="center"/>
          </w:tcPr>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1.符合新时代对技术技能人才培养新要求，落实教育部颁布的公共基础课程教学标准有关要求，紧扣学校专业人才培养方案和课程教学安排，夯实学生科学文化基础，着力培养学生人文素养、职业素养、信息素养，培养学生工匠精神、科学精神、创新精神和终身学习能力。</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lang w:val="en-US" w:eastAsia="zh-CN" w:bidi="zh-CN"/>
              </w:rPr>
            </w:pPr>
            <w:r>
              <w:rPr>
                <w:rFonts w:hint="default" w:ascii="宋体" w:hAnsi="宋体" w:eastAsia="宋体" w:cs="宋体"/>
                <w:kern w:val="2"/>
                <w:sz w:val="24"/>
                <w:szCs w:val="24"/>
                <w:lang w:val="en-US" w:eastAsia="zh-CN" w:bidi="zh-CN"/>
              </w:rPr>
              <w:t>2.</w:t>
            </w:r>
            <w:r>
              <w:rPr>
                <w:rFonts w:hint="eastAsia" w:ascii="宋体" w:hAnsi="宋体" w:eastAsia="宋体" w:cs="宋体"/>
                <w:kern w:val="2"/>
                <w:sz w:val="24"/>
                <w:szCs w:val="24"/>
                <w:lang w:val="en-US" w:eastAsia="zh-CN" w:bidi="zh-CN"/>
              </w:rPr>
              <w:t>教学目标表述明确、相互关联，重点突出、可评可测。</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sz w:val="24"/>
                <w:szCs w:val="24"/>
                <w:vertAlign w:val="baseline"/>
              </w:rPr>
            </w:pPr>
            <w:r>
              <w:rPr>
                <w:rFonts w:hint="default" w:ascii="宋体" w:hAnsi="宋体" w:eastAsia="宋体" w:cs="宋体"/>
                <w:kern w:val="2"/>
                <w:sz w:val="24"/>
                <w:szCs w:val="24"/>
                <w:lang w:val="en-US" w:eastAsia="zh-CN" w:bidi="zh-CN"/>
              </w:rPr>
              <w:t>3.</w:t>
            </w:r>
            <w:r>
              <w:rPr>
                <w:rFonts w:hint="eastAsia" w:ascii="宋体" w:hAnsi="宋体" w:eastAsia="宋体" w:cs="宋体"/>
                <w:kern w:val="2"/>
                <w:sz w:val="24"/>
                <w:szCs w:val="24"/>
                <w:lang w:val="en-US" w:eastAsia="zh-CN" w:bidi="zh-CN"/>
              </w:rPr>
              <w:t>客观分析学生知识基础、认知能力、学习特点、专业特性等，详实反映学生整体情况与个体差异，准确预判教学难点。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内容与  策略</w:t>
            </w:r>
          </w:p>
        </w:tc>
        <w:tc>
          <w:tcPr>
            <w:tcW w:w="67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w:t>
            </w:r>
          </w:p>
        </w:tc>
        <w:tc>
          <w:tcPr>
            <w:tcW w:w="70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1.思政课程按照“八个相统一”要求扎实推进创优建设；其他课程注重落实课程思政要求，结合课程特点挖掘思政元素，有机融入课程教学，达到润物无声的育人效果。</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2.教学内容落实公共基础课程课标，突出思想性、科学性、基础性、职业性和时代性，有效支撑教学目标的实现，内容选择科学严谨、容量适度，安排合理、衔接有序、结构清晰，符合层次定位。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3.教材选用、使用符合《职业学校教材管理办法》等文件规定和要求，配套提供丰富、优质学习资源；教案完整、规范、简明、真实。</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4.教学设计科学合理，教学过程系统优化，流程环节构思得当，技术应用预想合理，方法手段设计恰当，评价考核科学有效。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实施与  成效</w:t>
            </w:r>
          </w:p>
        </w:tc>
        <w:tc>
          <w:tcPr>
            <w:tcW w:w="67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w:t>
            </w:r>
          </w:p>
        </w:tc>
        <w:tc>
          <w:tcPr>
            <w:tcW w:w="70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1.教育思想和教学理念先进，遵循学生认知规律，反映日常教学实际。</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2.按照教学设计实施教学，关注重点、难点的解决，能够针对学习反馈及时调整教学，突出学生中心，实行因材施教。</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3.教学环境真实， 满足教学需求，教学活动开展有序，教学互动深入有效，教学气氛生动活泼，学生学有所得。</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4.关注教与学行为数据采集，针对目标要求开展考核与评价。</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5.</w:t>
            </w:r>
            <w:r>
              <w:rPr>
                <w:rFonts w:hint="eastAsia" w:ascii="宋体" w:hAnsi="宋体" w:eastAsia="宋体" w:cs="宋体"/>
                <w:sz w:val="24"/>
                <w:szCs w:val="24"/>
                <w:vertAlign w:val="baseline"/>
                <w:lang w:val="en-US" w:eastAsia="zh-CN"/>
              </w:rPr>
              <w:t>创新教学方式方法，合理运用前沿信息技术、数字化教学资源、设施设备改造传统教学，提升学习效果、提高教学与管理成效。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eastAsia" w:ascii="宋体" w:hAnsi="宋体" w:eastAsia="宋体" w:cs="宋体"/>
                <w:b/>
                <w:bCs/>
                <w:sz w:val="24"/>
                <w:szCs w:val="24"/>
                <w:vertAlign w:val="baseline"/>
                <w:lang w:val="en-US" w:eastAsia="zh-CN" w:bidi="zh-CN"/>
              </w:rPr>
            </w:pPr>
            <w:r>
              <w:rPr>
                <w:rFonts w:hint="eastAsia" w:ascii="宋体" w:hAnsi="宋体" w:eastAsia="宋体" w:cs="宋体"/>
                <w:b/>
                <w:bCs/>
                <w:sz w:val="24"/>
                <w:szCs w:val="24"/>
                <w:vertAlign w:val="baseline"/>
                <w:lang w:val="en-US" w:eastAsia="zh-CN"/>
              </w:rPr>
              <w:t>教学素养</w:t>
            </w:r>
          </w:p>
        </w:tc>
        <w:tc>
          <w:tcPr>
            <w:tcW w:w="671"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rPr>
              <w:t>15</w:t>
            </w:r>
          </w:p>
        </w:tc>
        <w:tc>
          <w:tcPr>
            <w:tcW w:w="70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leftChars="0" w:right="0" w:right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1.展现新时代职业学校教师良好的师德师风、教学能力和信息素养，发挥教学团队协作优势；老中青传帮带效果显著。</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leftChars="0" w:right="0" w:rightChars="0"/>
              <w:textAlignment w:val="auto"/>
              <w:rPr>
                <w:rFonts w:hint="eastAsia"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 xml:space="preserve">2 </w:t>
            </w:r>
            <w:r>
              <w:rPr>
                <w:rFonts w:hint="eastAsia" w:ascii="宋体" w:hAnsi="宋体" w:eastAsia="宋体" w:cs="宋体"/>
                <w:sz w:val="24"/>
                <w:szCs w:val="24"/>
                <w:vertAlign w:val="baseline"/>
                <w:lang w:val="en-US" w:eastAsia="zh-CN"/>
              </w:rPr>
              <w:t xml:space="preserve">教师课堂教学态度认真、严谨规范、表述清晰、亲和力强、仪态自然。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leftChars="0" w:right="0" w:rightChars="0"/>
              <w:textAlignment w:val="auto"/>
              <w:rPr>
                <w:rFonts w:hint="eastAsia" w:ascii="宋体" w:hAnsi="宋体" w:eastAsia="宋体" w:cs="宋体"/>
                <w:sz w:val="24"/>
                <w:szCs w:val="24"/>
                <w:vertAlign w:val="baseline"/>
                <w:lang w:val="en-US" w:eastAsia="zh-CN" w:bidi="zh-CN"/>
              </w:rPr>
            </w:pPr>
            <w:r>
              <w:rPr>
                <w:rFonts w:hint="default" w:ascii="宋体" w:hAnsi="宋体" w:eastAsia="宋体" w:cs="宋体"/>
                <w:sz w:val="24"/>
                <w:szCs w:val="24"/>
                <w:vertAlign w:val="baseline"/>
                <w:lang w:val="en-US" w:eastAsia="zh-CN"/>
              </w:rPr>
              <w:t>3.</w:t>
            </w:r>
            <w:r>
              <w:rPr>
                <w:rFonts w:hint="eastAsia" w:ascii="宋体" w:hAnsi="宋体" w:eastAsia="宋体" w:cs="宋体"/>
                <w:sz w:val="24"/>
                <w:szCs w:val="24"/>
                <w:vertAlign w:val="baseline"/>
                <w:lang w:val="en-US" w:eastAsia="zh-CN"/>
              </w:rPr>
              <w:t>教学研究深入，学术功底扎实，参赛资料客观记载、真实反映、反思深刻；决赛现场展示聚焦主题、观点正确、思路清晰、逻辑严谨、表达流畅。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eastAsia" w:ascii="宋体" w:hAnsi="宋体" w:eastAsia="宋体" w:cs="宋体"/>
                <w:b/>
                <w:bCs/>
                <w:sz w:val="24"/>
                <w:szCs w:val="24"/>
                <w:vertAlign w:val="baseline"/>
                <w:lang w:val="en-US" w:eastAsia="zh-CN" w:bidi="zh-CN"/>
              </w:rPr>
            </w:pPr>
            <w:r>
              <w:rPr>
                <w:rFonts w:hint="eastAsia" w:ascii="宋体" w:hAnsi="宋体" w:eastAsia="宋体" w:cs="宋体"/>
                <w:b/>
                <w:bCs/>
                <w:sz w:val="24"/>
                <w:szCs w:val="24"/>
                <w:vertAlign w:val="baseline"/>
                <w:lang w:val="en-US" w:eastAsia="zh-CN"/>
              </w:rPr>
              <w:t xml:space="preserve">    特色创新</w:t>
            </w:r>
          </w:p>
        </w:tc>
        <w:tc>
          <w:tcPr>
            <w:tcW w:w="671"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rPr>
              <w:t>15</w:t>
            </w:r>
          </w:p>
        </w:tc>
        <w:tc>
          <w:tcPr>
            <w:tcW w:w="7051"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1.在落实立德树人、文化素养提升、课程思政建设等方面有行之有效的做法，能够调动学生全面深度参与，给学生深刻的学习体验。</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2.在落实国家教学标准、推进“三教”改革、运用信息技术等方面有特色、有创</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新。</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textAlignment w:val="auto"/>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rPr>
              <w:t>3.具有较大借鉴和推广价值。</w:t>
            </w:r>
          </w:p>
        </w:tc>
      </w:tr>
    </w:tbl>
    <w:p>
      <w:pPr>
        <w:pStyle w:val="3"/>
        <w:keepNext w:val="0"/>
        <w:keepLines w:val="0"/>
        <w:pageBreakBefore w:val="0"/>
        <w:widowControl w:val="0"/>
        <w:kinsoku/>
        <w:wordWrap/>
        <w:overflowPunct/>
        <w:topLinePunct w:val="0"/>
        <w:autoSpaceDE w:val="0"/>
        <w:autoSpaceDN w:val="0"/>
        <w:bidi w:val="0"/>
        <w:adjustRightInd/>
        <w:snapToGrid/>
        <w:spacing w:before="81" w:line="300" w:lineRule="exact"/>
        <w:ind w:left="0" w:leftChars="0" w:right="1123" w:firstLine="0" w:firstLineChars="0"/>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24"/>
          <w:szCs w:val="24"/>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center"/>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center"/>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center"/>
        <w:textAlignment w:val="auto"/>
        <w:rPr>
          <w:rFonts w:hint="eastAsia" w:ascii="方正黑体_GBK" w:hAnsi="方正黑体_GBK" w:eastAsia="方正黑体_GBK" w:cs="方正黑体_GBK"/>
          <w:b/>
          <w:bCs/>
          <w:sz w:val="32"/>
          <w:szCs w:val="32"/>
          <w:lang w:val="en-US" w:eastAsia="zh-CN"/>
        </w:rPr>
      </w:pPr>
    </w:p>
    <w:p>
      <w:pPr>
        <w:rPr>
          <w:rFonts w:hint="eastAsia" w:ascii="方正黑体_GBK" w:hAnsi="方正黑体_GBK" w:eastAsia="方正黑体_GBK" w:cs="方正黑体_GBK"/>
          <w:b/>
          <w:bCs/>
          <w:sz w:val="32"/>
          <w:szCs w:val="32"/>
          <w:lang w:val="en-US" w:eastAsia="zh-CN"/>
        </w:rPr>
      </w:pPr>
    </w:p>
    <w:p>
      <w:pPr>
        <w:pStyle w:val="2"/>
        <w:rPr>
          <w:rFonts w:hint="eastAsia" w:ascii="方正黑体_GBK" w:hAnsi="方正黑体_GBK" w:eastAsia="方正黑体_GBK" w:cs="方正黑体_GBK"/>
          <w:b/>
          <w:bCs/>
          <w:sz w:val="32"/>
          <w:szCs w:val="32"/>
          <w:lang w:val="en-US" w:eastAsia="zh-CN"/>
        </w:rPr>
      </w:pPr>
    </w:p>
    <w:p>
      <w:pPr>
        <w:rPr>
          <w:rFonts w:hint="eastAsia" w:ascii="方正黑体_GBK" w:hAnsi="方正黑体_GBK" w:eastAsia="方正黑体_GBK" w:cs="方正黑体_GBK"/>
          <w:b/>
          <w:bCs/>
          <w:sz w:val="32"/>
          <w:szCs w:val="32"/>
          <w:lang w:val="en-US" w:eastAsia="zh-CN"/>
        </w:rPr>
      </w:pPr>
    </w:p>
    <w:p>
      <w:pPr>
        <w:pStyle w:val="2"/>
        <w:rPr>
          <w:rFonts w:hint="eastAsia" w:ascii="方正黑体_GBK" w:hAnsi="方正黑体_GBK" w:eastAsia="方正黑体_GBK" w:cs="方正黑体_GBK"/>
          <w:b/>
          <w:bCs/>
          <w:sz w:val="32"/>
          <w:szCs w:val="32"/>
          <w:lang w:val="en-US" w:eastAsia="zh-CN"/>
        </w:rPr>
      </w:pPr>
    </w:p>
    <w:p>
      <w:pPr>
        <w:rPr>
          <w:rFonts w:hint="eastAsia" w:ascii="方正黑体_GBK" w:hAnsi="方正黑体_GBK" w:eastAsia="方正黑体_GBK" w:cs="方正黑体_GBK"/>
          <w:b/>
          <w:bCs/>
          <w:sz w:val="32"/>
          <w:szCs w:val="32"/>
          <w:lang w:val="en-US" w:eastAsia="zh-CN"/>
        </w:rPr>
      </w:pPr>
    </w:p>
    <w:p>
      <w:pPr>
        <w:pStyle w:val="2"/>
        <w:rPr>
          <w:rFonts w:hint="eastAsia" w:ascii="方正黑体_GBK" w:hAnsi="方正黑体_GBK" w:eastAsia="方正黑体_GBK" w:cs="方正黑体_GBK"/>
          <w:b/>
          <w:bCs/>
          <w:sz w:val="32"/>
          <w:szCs w:val="32"/>
          <w:lang w:val="en-US" w:eastAsia="zh-CN"/>
        </w:rPr>
      </w:pPr>
    </w:p>
    <w:p>
      <w:pPr>
        <w:rPr>
          <w:rFonts w:hint="eastAsia" w:ascii="方正黑体_GBK" w:hAnsi="方正黑体_GBK" w:eastAsia="方正黑体_GBK" w:cs="方正黑体_GBK"/>
          <w:b/>
          <w:bCs/>
          <w:sz w:val="32"/>
          <w:szCs w:val="32"/>
          <w:lang w:val="en-US" w:eastAsia="zh-CN"/>
        </w:rPr>
      </w:pPr>
    </w:p>
    <w:p>
      <w:pPr>
        <w:pStyle w:val="2"/>
        <w:rPr>
          <w:rFonts w:hint="eastAsia" w:ascii="方正黑体_GBK" w:hAnsi="方正黑体_GBK" w:eastAsia="方正黑体_GBK" w:cs="方正黑体_GBK"/>
          <w:b/>
          <w:bCs/>
          <w:sz w:val="32"/>
          <w:szCs w:val="32"/>
          <w:lang w:val="en-US" w:eastAsia="zh-CN"/>
        </w:rPr>
      </w:pPr>
    </w:p>
    <w:p>
      <w:pPr>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600" w:lineRule="exact"/>
        <w:ind w:left="0" w:leftChars="0" w:right="1123" w:firstLine="0" w:firstLineChars="0"/>
        <w:jc w:val="both"/>
        <w:textAlignment w:val="auto"/>
        <w:rPr>
          <w:rStyle w:val="20"/>
          <w:rFonts w:hint="eastAsia" w:ascii="方正黑体_GBK" w:hAnsi="方正黑体_GBK" w:eastAsia="方正黑体_GBK" w:cs="方正黑体_GBK"/>
          <w:b w:val="0"/>
          <w:bCs w:val="0"/>
          <w:sz w:val="32"/>
          <w:szCs w:val="32"/>
          <w:lang w:val="en-US" w:eastAsia="zh-CN"/>
        </w:rPr>
      </w:pPr>
      <w:r>
        <w:rPr>
          <w:rStyle w:val="20"/>
          <w:rFonts w:hint="eastAsia" w:ascii="方正黑体_GBK" w:hAnsi="方正黑体_GBK" w:eastAsia="方正黑体_GBK" w:cs="方正黑体_GBK"/>
          <w:b w:val="0"/>
          <w:bCs w:val="0"/>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20"/>
          <w:rFonts w:hint="eastAsia" w:ascii="方正小标宋_GBK" w:hAnsi="方正小标宋_GBK" w:eastAsia="方正小标宋_GBK" w:cs="方正小标宋_GBK"/>
          <w:b w:val="0"/>
          <w:bCs w:val="0"/>
          <w:kern w:val="2"/>
          <w:sz w:val="36"/>
          <w:szCs w:val="36"/>
          <w:lang w:val="en-US" w:eastAsia="zh-CN" w:bidi="ar-SA"/>
        </w:rPr>
      </w:pPr>
      <w:r>
        <w:rPr>
          <w:rStyle w:val="20"/>
          <w:rFonts w:hint="eastAsia" w:ascii="方正小标宋_GBK" w:hAnsi="方正小标宋_GBK" w:eastAsia="方正小标宋_GBK" w:cs="方正小标宋_GBK"/>
          <w:b w:val="0"/>
          <w:bCs w:val="0"/>
          <w:kern w:val="2"/>
          <w:sz w:val="36"/>
          <w:szCs w:val="36"/>
          <w:lang w:val="en-US" w:eastAsia="zh-CN" w:bidi="ar-SA"/>
        </w:rPr>
        <w:t>第五届教师教学能力大赛</w:t>
      </w:r>
      <w:r>
        <w:rPr>
          <w:rStyle w:val="20"/>
          <w:rFonts w:hint="eastAsia" w:ascii="方正小标宋_GBK" w:hAnsi="方正小标宋_GBK" w:eastAsia="方正小标宋_GBK" w:cs="方正小标宋_GBK"/>
          <w:b w:val="0"/>
          <w:bCs w:val="0"/>
          <w:sz w:val="36"/>
          <w:szCs w:val="36"/>
          <w:lang w:val="en-US" w:eastAsia="zh-CN"/>
        </w:rPr>
        <w:t>专业（技能）</w:t>
      </w:r>
      <w:r>
        <w:rPr>
          <w:rStyle w:val="20"/>
          <w:rFonts w:hint="eastAsia" w:ascii="方正小标宋_GBK" w:hAnsi="方正小标宋_GBK" w:eastAsia="方正小标宋_GBK" w:cs="方正小标宋_GBK"/>
          <w:b w:val="0"/>
          <w:bCs w:val="0"/>
          <w:kern w:val="2"/>
          <w:sz w:val="36"/>
          <w:szCs w:val="36"/>
          <w:lang w:val="en-US" w:eastAsia="zh-CN" w:bidi="ar-SA"/>
        </w:rPr>
        <w:t>课程组</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20"/>
          <w:rFonts w:hint="eastAsia" w:ascii="方正小标宋_GBK" w:hAnsi="方正小标宋_GBK" w:eastAsia="方正小标宋_GBK" w:cs="方正小标宋_GBK"/>
          <w:b w:val="0"/>
          <w:bCs w:val="0"/>
          <w:sz w:val="36"/>
          <w:szCs w:val="36"/>
          <w:lang w:val="en-US" w:eastAsia="zh-CN"/>
        </w:rPr>
      </w:pPr>
      <w:r>
        <w:rPr>
          <w:rStyle w:val="20"/>
          <w:rFonts w:hint="eastAsia" w:ascii="方正小标宋_GBK" w:hAnsi="方正小标宋_GBK" w:eastAsia="方正小标宋_GBK" w:cs="方正小标宋_GBK"/>
          <w:b w:val="0"/>
          <w:bCs w:val="0"/>
          <w:kern w:val="2"/>
          <w:sz w:val="36"/>
          <w:szCs w:val="36"/>
          <w:lang w:val="en-US" w:eastAsia="zh-CN" w:bidi="ar-SA"/>
        </w:rPr>
        <w:t>评分指标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675"/>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6"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eastAsia" w:ascii="宋体" w:hAnsi="宋体" w:eastAsia="宋体" w:cs="宋体"/>
                <w:b/>
                <w:bCs/>
                <w:sz w:val="24"/>
                <w:szCs w:val="24"/>
                <w:vertAlign w:val="baseline"/>
                <w:lang w:val="en-US" w:eastAsia="zh-CN" w:bidi="zh-CN"/>
              </w:rPr>
            </w:pPr>
            <w:r>
              <w:rPr>
                <w:rFonts w:hint="eastAsia" w:ascii="宋体" w:hAnsi="宋体" w:eastAsia="宋体" w:cs="宋体"/>
                <w:b/>
                <w:bCs/>
                <w:sz w:val="24"/>
                <w:szCs w:val="24"/>
                <w:vertAlign w:val="baseline"/>
                <w:lang w:val="en-US" w:eastAsia="zh-CN"/>
              </w:rPr>
              <w:t>评价指标</w:t>
            </w:r>
          </w:p>
        </w:tc>
        <w:tc>
          <w:tcPr>
            <w:tcW w:w="675"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eastAsia" w:ascii="宋体" w:hAnsi="宋体" w:eastAsia="宋体" w:cs="宋体"/>
                <w:b/>
                <w:bCs/>
                <w:sz w:val="24"/>
                <w:szCs w:val="24"/>
                <w:vertAlign w:val="baseline"/>
                <w:lang w:val="en-US" w:eastAsia="zh-CN" w:bidi="zh-CN"/>
              </w:rPr>
            </w:pPr>
            <w:r>
              <w:rPr>
                <w:rFonts w:hint="eastAsia" w:ascii="宋体" w:hAnsi="宋体" w:eastAsia="宋体" w:cs="宋体"/>
                <w:b/>
                <w:bCs/>
                <w:sz w:val="24"/>
                <w:szCs w:val="24"/>
                <w:vertAlign w:val="baseline"/>
                <w:lang w:val="en-US" w:eastAsia="zh-CN"/>
              </w:rPr>
              <w:t>分值</w:t>
            </w:r>
          </w:p>
        </w:tc>
        <w:tc>
          <w:tcPr>
            <w:tcW w:w="7051"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eastAsia" w:ascii="宋体" w:hAnsi="宋体" w:eastAsia="宋体" w:cs="宋体"/>
                <w:b/>
                <w:bCs/>
                <w:sz w:val="24"/>
                <w:szCs w:val="24"/>
                <w:vertAlign w:val="baseline"/>
                <w:lang w:val="en-US" w:eastAsia="zh-CN" w:bidi="zh-CN"/>
              </w:rPr>
            </w:pPr>
            <w:r>
              <w:rPr>
                <w:rFonts w:hint="eastAsia" w:ascii="宋体" w:hAnsi="宋体" w:eastAsia="宋体" w:cs="宋体"/>
                <w:b/>
                <w:bCs/>
                <w:sz w:val="24"/>
                <w:szCs w:val="24"/>
                <w:vertAlign w:val="baseline"/>
                <w:lang w:val="en-US" w:eastAsia="zh-CN"/>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796"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eastAsia" w:ascii="宋体" w:hAnsi="宋体" w:eastAsia="宋体" w:cs="宋体"/>
                <w:b/>
                <w:bCs/>
                <w:sz w:val="24"/>
                <w:szCs w:val="24"/>
                <w:vertAlign w:val="baseline"/>
                <w:lang w:val="en-US" w:eastAsia="zh-CN" w:bidi="zh-CN"/>
              </w:rPr>
            </w:pPr>
            <w:r>
              <w:rPr>
                <w:rFonts w:hint="eastAsia" w:ascii="宋体" w:hAnsi="宋体" w:eastAsia="宋体" w:cs="宋体"/>
                <w:b/>
                <w:bCs/>
                <w:sz w:val="24"/>
                <w:szCs w:val="24"/>
                <w:vertAlign w:val="baseline"/>
                <w:lang w:val="en-US" w:eastAsia="zh-CN"/>
              </w:rPr>
              <w:t>目标与  学情</w:t>
            </w:r>
          </w:p>
        </w:tc>
        <w:tc>
          <w:tcPr>
            <w:tcW w:w="675" w:type="dxa"/>
            <w:noWrap w:val="0"/>
            <w:vAlign w:val="center"/>
          </w:tcPr>
          <w:p>
            <w:pPr>
              <w:pStyle w:val="22"/>
              <w:keepNext w:val="0"/>
              <w:keepLines w:val="0"/>
              <w:pageBreakBefore w:val="0"/>
              <w:widowControl w:val="0"/>
              <w:numPr>
                <w:ilvl w:val="0"/>
                <w:numId w:val="0"/>
              </w:numPr>
              <w:kinsoku/>
              <w:wordWrap/>
              <w:overflowPunct/>
              <w:topLinePunct w:val="0"/>
              <w:autoSpaceDE w:val="0"/>
              <w:autoSpaceDN w:val="0"/>
              <w:bidi w:val="0"/>
              <w:adjustRightInd/>
              <w:snapToGrid/>
              <w:spacing w:before="47" w:line="300" w:lineRule="exact"/>
              <w:ind w:right="0" w:rightChars="0"/>
              <w:jc w:val="center"/>
              <w:textAlignment w:val="auto"/>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20</w:t>
            </w:r>
          </w:p>
        </w:tc>
        <w:tc>
          <w:tcPr>
            <w:tcW w:w="7051" w:type="dxa"/>
            <w:noWrap w:val="0"/>
            <w:vAlign w:val="top"/>
          </w:tcPr>
          <w:p>
            <w:pPr>
              <w:keepNext w:val="0"/>
              <w:keepLines w:val="0"/>
              <w:pageBreakBefore w:val="0"/>
              <w:widowControl/>
              <w:numPr>
                <w:ilvl w:val="0"/>
                <w:numId w:val="2"/>
              </w:numPr>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vertAlign w:val="baseline"/>
                <w:lang w:val="en-US" w:eastAsia="zh-CN" w:bidi="zh-CN"/>
              </w:rPr>
            </w:pPr>
            <w:r>
              <w:rPr>
                <w:rFonts w:hint="eastAsia" w:ascii="宋体" w:hAnsi="宋体" w:eastAsia="宋体" w:cs="宋体"/>
                <w:kern w:val="2"/>
                <w:sz w:val="24"/>
                <w:szCs w:val="24"/>
                <w:vertAlign w:val="baseline"/>
                <w:lang w:val="en-US" w:eastAsia="zh-CN" w:bidi="zh-CN"/>
              </w:rPr>
              <w:t>适应新时代对高素质技术技能人才培养的新要求，符合教育部发布的专业教学标准、实训教学条件建设标准、岗位实习标准等有关要求，涉及职业技能等级证书的课程教学内容，还应对接有关职业技能等级标准。紧扣学校专业人才培养方案和课程标准，夯实学生专业基础和专业能力，培育学生职业道德、职业能力、信息素养、创新能力、工程思维，培养学生科学精神、工匠精神和终身学习能力。</w:t>
            </w:r>
          </w:p>
          <w:p>
            <w:pPr>
              <w:keepNext w:val="0"/>
              <w:keepLines w:val="0"/>
              <w:pageBreakBefore w:val="0"/>
              <w:widowControl/>
              <w:numPr>
                <w:ilvl w:val="0"/>
                <w:numId w:val="0"/>
              </w:numPr>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vertAlign w:val="baseline"/>
                <w:lang w:val="en-US" w:eastAsia="zh-CN" w:bidi="zh-CN"/>
              </w:rPr>
            </w:pPr>
            <w:r>
              <w:rPr>
                <w:rFonts w:hint="eastAsia" w:ascii="宋体" w:hAnsi="宋体" w:eastAsia="宋体" w:cs="宋体"/>
                <w:kern w:val="2"/>
                <w:sz w:val="24"/>
                <w:szCs w:val="24"/>
                <w:vertAlign w:val="baseline"/>
                <w:lang w:val="en-US" w:eastAsia="zh-CN" w:bidi="zh-CN"/>
              </w:rPr>
              <w:t>2.教学目标表述明确、相互关联，重点突出、可评可测。</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sz w:val="24"/>
                <w:szCs w:val="24"/>
                <w:vertAlign w:val="baseline"/>
                <w:lang w:val="en-US" w:eastAsia="zh-CN" w:bidi="zh-CN"/>
              </w:rPr>
            </w:pPr>
            <w:r>
              <w:rPr>
                <w:rFonts w:hint="eastAsia" w:ascii="宋体" w:hAnsi="宋体" w:eastAsia="宋体" w:cs="宋体"/>
                <w:kern w:val="2"/>
                <w:sz w:val="24"/>
                <w:szCs w:val="24"/>
                <w:vertAlign w:val="baseline"/>
                <w:lang w:val="en-US" w:eastAsia="zh-CN" w:bidi="zh-CN"/>
              </w:rPr>
              <w:t>3.客观分析学生的知识和技能基础、认知和实践能力、学习特点等，详实反映学生整体情况与个体差异，准确预判教学难点。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jc w:val="center"/>
        </w:trPr>
        <w:tc>
          <w:tcPr>
            <w:tcW w:w="796"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eastAsia" w:ascii="宋体" w:hAnsi="宋体" w:eastAsia="宋体" w:cs="宋体"/>
                <w:b/>
                <w:bCs/>
                <w:sz w:val="24"/>
                <w:szCs w:val="24"/>
                <w:vertAlign w:val="baseline"/>
                <w:lang w:val="en-US" w:eastAsia="zh-CN" w:bidi="zh-CN"/>
              </w:rPr>
            </w:pPr>
            <w:r>
              <w:rPr>
                <w:rFonts w:hint="eastAsia" w:ascii="宋体" w:hAnsi="宋体" w:eastAsia="宋体" w:cs="宋体"/>
                <w:b/>
                <w:bCs/>
                <w:sz w:val="24"/>
                <w:szCs w:val="24"/>
                <w:vertAlign w:val="baseline"/>
                <w:lang w:val="en-US" w:eastAsia="zh-CN"/>
              </w:rPr>
              <w:t>内容与  策略</w:t>
            </w:r>
          </w:p>
        </w:tc>
        <w:tc>
          <w:tcPr>
            <w:tcW w:w="67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rPr>
              <w:t>20</w:t>
            </w:r>
          </w:p>
        </w:tc>
        <w:tc>
          <w:tcPr>
            <w:tcW w:w="7051" w:type="dxa"/>
            <w:noWrap w:val="0"/>
            <w:vAlign w:val="top"/>
          </w:tcPr>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1.结合课程特点、思维方法和价值理念，挖掘提炼专业知识体系中所蕴含的思想价值和精神内涵，有机融入课程教学，达到润物无声的育人效果。</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教学内容落实课程标准，对接新产业、新业态、新模式、新职业，促进书证融通，有效支撑教学目标的实现，内容选择科学严谨、容量适度，安排合理、衔接有序、结构清晰，符合层次定位；实习实训内容与专业课程教学内容匹配，强化核心技术技能训练。</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3.教材选用符合《职业学校教材管理办法》等文件规定和要求，配套提供丰富优质学习资源，鼓励使用新型活页式、工作手册式教材；教案完整、规范、简明、真实。</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kern w:val="2"/>
                <w:sz w:val="24"/>
                <w:szCs w:val="24"/>
                <w:lang w:val="en-US" w:eastAsia="zh-CN" w:bidi="zh-CN"/>
              </w:rPr>
              <w:t>4.教学设计合理，教学过程系统优化，流程环节构思得当，技术应用预想合理，方法手段设计恰当，评价考核科学有效，突出项目式、任务式、案例式、情境式等教学方式。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796"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default" w:ascii="宋体" w:hAnsi="宋体" w:eastAsia="宋体" w:cs="宋体"/>
                <w:b/>
                <w:bCs/>
                <w:sz w:val="24"/>
                <w:szCs w:val="24"/>
                <w:vertAlign w:val="baseline"/>
                <w:lang w:val="en-US" w:eastAsia="zh-CN" w:bidi="zh-CN"/>
              </w:rPr>
            </w:pPr>
            <w:r>
              <w:rPr>
                <w:rFonts w:hint="eastAsia" w:ascii="宋体" w:hAnsi="宋体" w:eastAsia="宋体" w:cs="宋体"/>
                <w:b/>
                <w:bCs/>
                <w:sz w:val="24"/>
                <w:szCs w:val="24"/>
                <w:vertAlign w:val="baseline"/>
                <w:lang w:val="en-US" w:eastAsia="zh-CN" w:bidi="zh-CN"/>
              </w:rPr>
              <w:t>实施与  成效</w:t>
            </w:r>
          </w:p>
        </w:tc>
        <w:tc>
          <w:tcPr>
            <w:tcW w:w="67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bidi="zh-CN"/>
              </w:rPr>
              <w:t>30</w:t>
            </w:r>
          </w:p>
        </w:tc>
        <w:tc>
          <w:tcPr>
            <w:tcW w:w="7051" w:type="dxa"/>
            <w:noWrap w:val="0"/>
            <w:vAlign w:val="top"/>
          </w:tcPr>
          <w:p>
            <w:pPr>
              <w:keepNext w:val="0"/>
              <w:keepLines w:val="0"/>
              <w:pageBreakBefore w:val="0"/>
              <w:widowControl/>
              <w:numPr>
                <w:ilvl w:val="0"/>
                <w:numId w:val="0"/>
              </w:numPr>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vertAlign w:val="baseline"/>
                <w:lang w:val="en-US" w:eastAsia="zh-CN" w:bidi="zh-CN"/>
              </w:rPr>
            </w:pPr>
            <w:r>
              <w:rPr>
                <w:rFonts w:hint="eastAsia" w:ascii="宋体" w:hAnsi="宋体" w:eastAsia="宋体" w:cs="宋体"/>
                <w:kern w:val="2"/>
                <w:sz w:val="24"/>
                <w:szCs w:val="24"/>
                <w:vertAlign w:val="baseline"/>
                <w:lang w:val="en-US" w:eastAsia="zh-CN" w:bidi="zh-CN"/>
              </w:rPr>
              <w:t>1.教育思想和教学理念先进，落实德技并修、工学结合，遵循职业教育规律、学生认知规律和技术技能人才成长规律，反映日常教学实际。</w:t>
            </w:r>
          </w:p>
          <w:p>
            <w:pPr>
              <w:keepNext w:val="0"/>
              <w:keepLines w:val="0"/>
              <w:pageBreakBefore w:val="0"/>
              <w:widowControl/>
              <w:numPr>
                <w:ilvl w:val="0"/>
                <w:numId w:val="0"/>
              </w:numPr>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vertAlign w:val="baseline"/>
                <w:lang w:val="en-US" w:eastAsia="zh-CN" w:bidi="zh-CN"/>
              </w:rPr>
            </w:pPr>
            <w:r>
              <w:rPr>
                <w:rFonts w:hint="eastAsia" w:ascii="宋体" w:hAnsi="宋体" w:eastAsia="宋体" w:cs="宋体"/>
                <w:kern w:val="2"/>
                <w:sz w:val="24"/>
                <w:szCs w:val="24"/>
                <w:vertAlign w:val="baseline"/>
                <w:lang w:val="en-US" w:eastAsia="zh-CN" w:bidi="zh-CN"/>
              </w:rPr>
              <w:t>2.按照教学设计实施教学，关注技术技能教学重点、难点的解决，能够针对学习和实践反馈及时调整教学，突出学生中心，落实理实一体化，强调知行合一，实行因材施教；针对不同生源特点，体现灵活的教学组织形式。</w:t>
            </w:r>
          </w:p>
          <w:p>
            <w:pPr>
              <w:keepNext w:val="0"/>
              <w:keepLines w:val="0"/>
              <w:pageBreakBefore w:val="0"/>
              <w:widowControl/>
              <w:numPr>
                <w:ilvl w:val="0"/>
                <w:numId w:val="0"/>
              </w:numPr>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vertAlign w:val="baseline"/>
                <w:lang w:val="en-US" w:eastAsia="zh-CN" w:bidi="zh-CN"/>
              </w:rPr>
            </w:pPr>
            <w:r>
              <w:rPr>
                <w:rFonts w:hint="eastAsia" w:ascii="宋体" w:hAnsi="宋体" w:eastAsia="宋体" w:cs="宋体"/>
                <w:kern w:val="2"/>
                <w:sz w:val="24"/>
                <w:szCs w:val="24"/>
                <w:vertAlign w:val="baseline"/>
                <w:lang w:val="en-US" w:eastAsia="zh-CN" w:bidi="zh-CN"/>
              </w:rPr>
              <w:t>3.教学环境真实，能够满足教学需要，教学活动安全有序，教学互动深入有效，教学气氛生动活泼，学生乐学、学会。</w:t>
            </w:r>
          </w:p>
          <w:p>
            <w:pPr>
              <w:keepNext w:val="0"/>
              <w:keepLines w:val="0"/>
              <w:pageBreakBefore w:val="0"/>
              <w:widowControl/>
              <w:numPr>
                <w:ilvl w:val="0"/>
                <w:numId w:val="0"/>
              </w:numPr>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vertAlign w:val="baseline"/>
                <w:lang w:val="en-US" w:eastAsia="zh-CN" w:bidi="zh-CN"/>
              </w:rPr>
            </w:pPr>
            <w:r>
              <w:rPr>
                <w:rFonts w:hint="eastAsia" w:ascii="宋体" w:hAnsi="宋体" w:eastAsia="宋体" w:cs="宋体"/>
                <w:kern w:val="2"/>
                <w:sz w:val="24"/>
                <w:szCs w:val="24"/>
                <w:vertAlign w:val="baseline"/>
                <w:lang w:val="en-US" w:eastAsia="zh-CN" w:bidi="zh-CN"/>
              </w:rPr>
              <w:t>4.关注教与学行为数据采集，针对目标要求开展教学与实践的考核与评价。</w:t>
            </w:r>
          </w:p>
          <w:p>
            <w:pPr>
              <w:keepNext w:val="0"/>
              <w:keepLines w:val="0"/>
              <w:pageBreakBefore w:val="0"/>
              <w:widowControl/>
              <w:numPr>
                <w:ilvl w:val="0"/>
                <w:numId w:val="0"/>
              </w:numPr>
              <w:suppressLineNumbers w:val="0"/>
              <w:kinsoku/>
              <w:wordWrap/>
              <w:overflowPunct/>
              <w:topLinePunct w:val="0"/>
              <w:bidi w:val="0"/>
              <w:adjustRightInd/>
              <w:snapToGrid/>
              <w:spacing w:line="300" w:lineRule="exac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kern w:val="2"/>
                <w:sz w:val="24"/>
                <w:szCs w:val="24"/>
                <w:vertAlign w:val="baseline"/>
                <w:lang w:val="en-US" w:eastAsia="zh-CN" w:bidi="zh-CN"/>
              </w:rPr>
              <w:t>5.创新教学方式方法，合理运用前沿信息技术、数字化资源、设施设备改造传统教学与实习实训，提升学习效果，提高教学与管理效能。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796"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eastAsia" w:ascii="宋体" w:hAnsi="宋体" w:eastAsia="宋体" w:cs="宋体"/>
                <w:b/>
                <w:bCs/>
                <w:sz w:val="24"/>
                <w:szCs w:val="24"/>
                <w:vertAlign w:val="baseline"/>
                <w:lang w:val="en-US" w:eastAsia="zh-CN" w:bidi="zh-CN"/>
              </w:rPr>
            </w:pPr>
            <w:r>
              <w:rPr>
                <w:rFonts w:hint="eastAsia" w:ascii="宋体" w:hAnsi="宋体" w:eastAsia="宋体" w:cs="宋体"/>
                <w:b/>
                <w:bCs/>
                <w:sz w:val="24"/>
                <w:szCs w:val="24"/>
                <w:vertAlign w:val="baseline"/>
                <w:lang w:val="en-US" w:eastAsia="zh-CN"/>
              </w:rPr>
              <w:t>教学素养</w:t>
            </w:r>
          </w:p>
        </w:tc>
        <w:tc>
          <w:tcPr>
            <w:tcW w:w="67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rPr>
              <w:t>15</w:t>
            </w:r>
          </w:p>
        </w:tc>
        <w:tc>
          <w:tcPr>
            <w:tcW w:w="7051" w:type="dxa"/>
            <w:noWrap w:val="0"/>
            <w:vAlign w:val="top"/>
          </w:tcPr>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1.展现新时代职业学校教师良好的师德师风、教学能力、实践能力和信息素养， 发挥教学团队协作优势；老中青传帮带效果显著。</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2.课堂教学态度认真、严谨规范、表述清晰、亲和力强、仪态自然。</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3.实训教学讲解和操作配合恰当，规范娴熟、示范有效，符合职业岗位要求，展现良好“双师”素养。</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sz w:val="24"/>
                <w:szCs w:val="24"/>
                <w:vertAlign w:val="baseline"/>
                <w:lang w:val="zh-CN" w:eastAsia="zh-CN" w:bidi="zh-CN"/>
              </w:rPr>
            </w:pPr>
            <w:r>
              <w:rPr>
                <w:rFonts w:hint="eastAsia" w:ascii="宋体" w:hAnsi="宋体" w:eastAsia="宋体" w:cs="宋体"/>
                <w:kern w:val="2"/>
                <w:sz w:val="24"/>
                <w:szCs w:val="24"/>
                <w:lang w:val="en-US" w:eastAsia="zh-CN" w:bidi="zh-CN"/>
              </w:rPr>
              <w:t>4.教学研究深入，学术功底扎实，参赛资料客观记载、真实反映、反思深刻；决赛现场展示聚焦主题、观点正确、思路清晰、逻辑严谨、表达流畅。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796" w:type="dxa"/>
            <w:noWrap w:val="0"/>
            <w:vAlign w:val="center"/>
          </w:tcPr>
          <w:p>
            <w:pPr>
              <w:keepNext w:val="0"/>
              <w:keepLines w:val="0"/>
              <w:pageBreakBefore w:val="0"/>
              <w:kinsoku/>
              <w:wordWrap/>
              <w:overflowPunct/>
              <w:topLinePunct w:val="0"/>
              <w:bidi w:val="0"/>
              <w:adjustRightInd/>
              <w:snapToGrid/>
              <w:spacing w:line="300" w:lineRule="exact"/>
              <w:ind w:left="0" w:leftChars="0" w:right="0" w:rightChars="0"/>
              <w:jc w:val="center"/>
              <w:textAlignment w:val="auto"/>
              <w:rPr>
                <w:rFonts w:hint="eastAsia" w:ascii="宋体" w:hAnsi="宋体" w:eastAsia="宋体" w:cs="宋体"/>
                <w:b/>
                <w:bCs/>
                <w:sz w:val="24"/>
                <w:szCs w:val="24"/>
                <w:vertAlign w:val="baseline"/>
                <w:lang w:val="en-US" w:eastAsia="zh-CN" w:bidi="zh-CN"/>
              </w:rPr>
            </w:pPr>
            <w:r>
              <w:rPr>
                <w:rFonts w:hint="eastAsia" w:ascii="宋体" w:hAnsi="宋体" w:eastAsia="宋体" w:cs="宋体"/>
                <w:b/>
                <w:bCs/>
                <w:sz w:val="24"/>
                <w:szCs w:val="24"/>
                <w:vertAlign w:val="baseline"/>
                <w:lang w:val="en-US" w:eastAsia="zh-CN"/>
              </w:rPr>
              <w:t>特色创新</w:t>
            </w:r>
          </w:p>
        </w:tc>
        <w:tc>
          <w:tcPr>
            <w:tcW w:w="67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eastAsia" w:ascii="宋体" w:hAnsi="宋体" w:eastAsia="宋体" w:cs="宋体"/>
                <w:sz w:val="24"/>
                <w:szCs w:val="24"/>
                <w:vertAlign w:val="baseline"/>
                <w:lang w:val="en-US" w:eastAsia="zh-CN" w:bidi="zh-CN"/>
              </w:rPr>
            </w:pPr>
            <w:r>
              <w:rPr>
                <w:rFonts w:hint="eastAsia" w:ascii="宋体" w:hAnsi="宋体" w:eastAsia="宋体" w:cs="宋体"/>
                <w:sz w:val="24"/>
                <w:szCs w:val="24"/>
                <w:vertAlign w:val="baseline"/>
                <w:lang w:val="en-US" w:eastAsia="zh-CN"/>
              </w:rPr>
              <w:t>15</w:t>
            </w:r>
          </w:p>
        </w:tc>
        <w:tc>
          <w:tcPr>
            <w:tcW w:w="7051" w:type="dxa"/>
            <w:noWrap w:val="0"/>
            <w:vAlign w:val="top"/>
          </w:tcPr>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1.在落实立德树人、德技并修，课程思政，工学结合、知行合一等方面有行之有效的做法，能够调动学生全面深度参与，给学生深刻的学习体验，促进学生职业综合素质和行动能力的明显提升。</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2.在落实国家教学标准、推进“三教”改革、运用信息技术等方面有特</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色、有创新。</w:t>
            </w:r>
          </w:p>
          <w:p>
            <w:pPr>
              <w:keepNext w:val="0"/>
              <w:keepLines w:val="0"/>
              <w:pageBreakBefore w:val="0"/>
              <w:widowControl/>
              <w:suppressLineNumbers w:val="0"/>
              <w:kinsoku/>
              <w:wordWrap/>
              <w:overflowPunct/>
              <w:topLinePunct w:val="0"/>
              <w:bidi w:val="0"/>
              <w:adjustRightInd/>
              <w:snapToGrid/>
              <w:spacing w:line="300" w:lineRule="exact"/>
              <w:jc w:val="left"/>
              <w:textAlignment w:val="auto"/>
              <w:rPr>
                <w:rFonts w:hint="default" w:ascii="宋体" w:hAnsi="宋体" w:eastAsia="宋体" w:cs="宋体"/>
                <w:sz w:val="24"/>
                <w:szCs w:val="24"/>
                <w:vertAlign w:val="baseline"/>
                <w:lang w:val="en-US" w:eastAsia="zh-CN" w:bidi="zh-CN"/>
              </w:rPr>
            </w:pPr>
            <w:r>
              <w:rPr>
                <w:rFonts w:hint="eastAsia" w:ascii="宋体" w:hAnsi="宋体" w:eastAsia="宋体" w:cs="宋体"/>
                <w:kern w:val="2"/>
                <w:sz w:val="24"/>
                <w:szCs w:val="24"/>
                <w:lang w:val="en-US" w:eastAsia="zh-CN" w:bidi="zh-CN"/>
              </w:rPr>
              <w:t>3.具有较大借鉴和推广价值。</w:t>
            </w:r>
          </w:p>
        </w:tc>
      </w:tr>
    </w:tbl>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left"/>
        <w:textAlignment w:val="auto"/>
        <w:rPr>
          <w:rFonts w:hint="eastAsia" w:ascii="方正黑体_GBK" w:hAnsi="方正黑体_GBK" w:eastAsia="方正黑体_GBK" w:cs="方正黑体_GBK"/>
          <w:b/>
          <w:bCs/>
          <w:sz w:val="32"/>
          <w:szCs w:val="32"/>
          <w:lang w:val="en-US" w:eastAsia="zh-CN"/>
        </w:rPr>
      </w:pPr>
    </w:p>
    <w:p>
      <w:pPr>
        <w:rPr>
          <w:rFonts w:hint="eastAsia" w:ascii="方正黑体_GBK" w:hAnsi="方正黑体_GBK" w:eastAsia="方正黑体_GBK" w:cs="方正黑体_GBK"/>
          <w:b/>
          <w:bCs/>
          <w:sz w:val="32"/>
          <w:szCs w:val="32"/>
          <w:lang w:val="en-US" w:eastAsia="zh-CN"/>
        </w:rPr>
      </w:pPr>
    </w:p>
    <w:p>
      <w:pPr>
        <w:pStyle w:val="2"/>
        <w:rPr>
          <w:rFonts w:hint="eastAsia" w:ascii="方正黑体_GBK" w:hAnsi="方正黑体_GBK" w:eastAsia="方正黑体_GBK" w:cs="方正黑体_GBK"/>
          <w:b/>
          <w:bCs/>
          <w:sz w:val="32"/>
          <w:szCs w:val="32"/>
          <w:lang w:val="en-US" w:eastAsia="zh-CN"/>
        </w:rPr>
      </w:pPr>
    </w:p>
    <w:p>
      <w:pPr>
        <w:rPr>
          <w:rFonts w:hint="eastAsia" w:ascii="方正黑体_GBK" w:hAnsi="方正黑体_GBK" w:eastAsia="方正黑体_GBK" w:cs="方正黑体_GBK"/>
          <w:b/>
          <w:bCs/>
          <w:sz w:val="32"/>
          <w:szCs w:val="32"/>
          <w:lang w:val="en-US" w:eastAsia="zh-CN"/>
        </w:rPr>
      </w:pPr>
    </w:p>
    <w:p>
      <w:pPr>
        <w:pStyle w:val="2"/>
        <w:rPr>
          <w:rFonts w:hint="eastAsia" w:ascii="方正黑体_GBK" w:hAnsi="方正黑体_GBK" w:eastAsia="方正黑体_GBK" w:cs="方正黑体_GBK"/>
          <w:b/>
          <w:bCs/>
          <w:sz w:val="32"/>
          <w:szCs w:val="32"/>
          <w:lang w:val="en-US" w:eastAsia="zh-CN"/>
        </w:rPr>
      </w:pPr>
    </w:p>
    <w:p>
      <w:pPr>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600" w:lineRule="exact"/>
        <w:ind w:left="0" w:leftChars="0" w:right="1123" w:firstLine="0" w:firstLineChars="0"/>
        <w:jc w:val="both"/>
        <w:textAlignment w:val="auto"/>
        <w:rPr>
          <w:rStyle w:val="20"/>
          <w:rFonts w:hint="eastAsia" w:ascii="方正黑体_GBK" w:hAnsi="方正黑体_GBK" w:eastAsia="方正黑体_GBK" w:cs="方正黑体_GBK"/>
          <w:b w:val="0"/>
          <w:bCs w:val="0"/>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600" w:lineRule="exact"/>
        <w:ind w:left="0" w:leftChars="0" w:right="1123" w:firstLine="0" w:firstLineChars="0"/>
        <w:jc w:val="both"/>
        <w:textAlignment w:val="auto"/>
        <w:rPr>
          <w:rStyle w:val="20"/>
          <w:rFonts w:hint="eastAsia" w:ascii="方正黑体_GBK" w:hAnsi="方正黑体_GBK" w:eastAsia="方正黑体_GBK" w:cs="方正黑体_GBK"/>
          <w:b w:val="0"/>
          <w:bCs w:val="0"/>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600" w:lineRule="exact"/>
        <w:ind w:left="0" w:leftChars="0" w:right="1123" w:firstLine="0" w:firstLineChars="0"/>
        <w:jc w:val="both"/>
        <w:textAlignment w:val="auto"/>
        <w:rPr>
          <w:rStyle w:val="20"/>
          <w:rFonts w:hint="eastAsia" w:ascii="方正黑体_GBK" w:hAnsi="方正黑体_GBK" w:eastAsia="方正黑体_GBK" w:cs="方正黑体_GBK"/>
          <w:b w:val="0"/>
          <w:bCs w:val="0"/>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600" w:lineRule="exact"/>
        <w:ind w:left="0" w:leftChars="0" w:right="1123" w:firstLine="0" w:firstLineChars="0"/>
        <w:jc w:val="both"/>
        <w:textAlignment w:val="auto"/>
        <w:rPr>
          <w:rStyle w:val="20"/>
          <w:rFonts w:hint="eastAsia" w:ascii="方正黑体_GBK" w:hAnsi="方正黑体_GBK" w:eastAsia="方正黑体_GBK" w:cs="方正黑体_GBK"/>
          <w:b w:val="0"/>
          <w:bCs w:val="0"/>
          <w:sz w:val="32"/>
          <w:szCs w:val="32"/>
          <w:lang w:val="en-US" w:eastAsia="zh-CN"/>
        </w:rPr>
      </w:pPr>
      <w:r>
        <w:rPr>
          <w:rStyle w:val="20"/>
          <w:rFonts w:hint="eastAsia" w:ascii="方正黑体_GBK" w:hAnsi="方正黑体_GBK" w:eastAsia="方正黑体_GBK" w:cs="方正黑体_GBK"/>
          <w:b w:val="0"/>
          <w:bCs w:val="0"/>
          <w:sz w:val="32"/>
          <w:szCs w:val="32"/>
          <w:lang w:val="en-US" w:eastAsia="zh-CN"/>
        </w:rPr>
        <w:t>附件3</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20"/>
          <w:rFonts w:hint="eastAsia" w:ascii="方正小标宋_GBK" w:hAnsi="方正小标宋_GBK" w:eastAsia="方正小标宋_GBK" w:cs="方正小标宋_GBK"/>
          <w:b w:val="0"/>
          <w:bCs w:val="0"/>
          <w:kern w:val="2"/>
          <w:sz w:val="36"/>
          <w:szCs w:val="36"/>
          <w:lang w:val="en-US" w:eastAsia="zh-CN" w:bidi="ar-SA"/>
        </w:rPr>
      </w:pPr>
      <w:r>
        <w:rPr>
          <w:rStyle w:val="20"/>
          <w:rFonts w:hint="eastAsia" w:ascii="方正小标宋_GBK" w:hAnsi="方正小标宋_GBK" w:eastAsia="方正小标宋_GBK" w:cs="方正小标宋_GBK"/>
          <w:b w:val="0"/>
          <w:bCs w:val="0"/>
          <w:kern w:val="2"/>
          <w:sz w:val="36"/>
          <w:szCs w:val="36"/>
          <w:lang w:val="en-US" w:eastAsia="zh-CN" w:bidi="ar-SA"/>
        </w:rPr>
        <w:t>第五届教师教学能力大赛参赛报名表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375"/>
        <w:gridCol w:w="869"/>
        <w:gridCol w:w="1262"/>
        <w:gridCol w:w="949"/>
        <w:gridCol w:w="542"/>
        <w:gridCol w:w="170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130"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t>组别</w:t>
            </w:r>
          </w:p>
        </w:tc>
        <w:tc>
          <w:tcPr>
            <w:tcW w:w="6392" w:type="dxa"/>
            <w:gridSpan w:val="6"/>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 公共基础课程组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30"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p>
        </w:tc>
        <w:tc>
          <w:tcPr>
            <w:tcW w:w="6392" w:type="dxa"/>
            <w:gridSpan w:val="6"/>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 专业（技能）课程一组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130"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p>
        </w:tc>
        <w:tc>
          <w:tcPr>
            <w:tcW w:w="6392" w:type="dxa"/>
            <w:gridSpan w:val="6"/>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 专业（技能）课程二组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261"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 xml:space="preserve">专业名称： </w:t>
            </w:r>
          </w:p>
        </w:tc>
        <w:tc>
          <w:tcPr>
            <w:tcW w:w="4261"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261"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参赛课程名称</w:t>
            </w:r>
          </w:p>
        </w:tc>
        <w:tc>
          <w:tcPr>
            <w:tcW w:w="4261"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261"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参赛内容名称</w:t>
            </w:r>
          </w:p>
        </w:tc>
        <w:tc>
          <w:tcPr>
            <w:tcW w:w="4261"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课程总学时</w:t>
            </w:r>
          </w:p>
        </w:tc>
        <w:tc>
          <w:tcPr>
            <w:tcW w:w="12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p>
        </w:tc>
        <w:tc>
          <w:tcPr>
            <w:tcW w:w="126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参赛学时</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p>
        </w:tc>
        <w:tc>
          <w:tcPr>
            <w:tcW w:w="224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授课班级人数</w:t>
            </w:r>
          </w:p>
        </w:tc>
        <w:tc>
          <w:tcPr>
            <w:tcW w:w="106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99" w:type="dxa"/>
            <w:gridSpan w:val="3"/>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kern w:val="0"/>
                <w:sz w:val="24"/>
                <w:szCs w:val="24"/>
                <w:lang w:val="en-US" w:eastAsia="zh-CN" w:bidi="ar"/>
              </w:rPr>
            </w:pPr>
            <w:r>
              <w:rPr>
                <w:rFonts w:hint="eastAsia" w:asciiTheme="majorEastAsia" w:hAnsiTheme="majorEastAsia" w:eastAsiaTheme="majorEastAsia" w:cstheme="majorEastAsia"/>
                <w:color w:val="000000"/>
                <w:kern w:val="0"/>
                <w:sz w:val="24"/>
                <w:szCs w:val="24"/>
                <w:lang w:val="en-US" w:eastAsia="zh-CN" w:bidi="ar"/>
              </w:rPr>
              <w:t>参赛学时范围</w:t>
            </w:r>
          </w:p>
        </w:tc>
        <w:tc>
          <w:tcPr>
            <w:tcW w:w="2753"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kern w:val="0"/>
                <w:sz w:val="24"/>
                <w:szCs w:val="24"/>
                <w:lang w:val="en-US" w:eastAsia="zh-CN" w:bidi="ar"/>
              </w:rPr>
            </w:pPr>
            <w:r>
              <w:rPr>
                <w:rFonts w:hint="eastAsia" w:asciiTheme="majorEastAsia" w:hAnsiTheme="majorEastAsia" w:eastAsiaTheme="majorEastAsia" w:cstheme="majorEastAsia"/>
                <w:color w:val="000000"/>
                <w:kern w:val="0"/>
                <w:sz w:val="24"/>
                <w:szCs w:val="24"/>
                <w:lang w:val="en-US" w:eastAsia="zh-CN" w:bidi="ar"/>
              </w:rPr>
              <w:t>起始学时</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 xml:space="preserve"> ( 第几学时 )</w:t>
            </w:r>
          </w:p>
        </w:tc>
        <w:tc>
          <w:tcPr>
            <w:tcW w:w="277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999" w:type="dxa"/>
            <w:gridSpan w:val="3"/>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kern w:val="0"/>
                <w:sz w:val="24"/>
                <w:szCs w:val="24"/>
                <w:lang w:val="en-US" w:eastAsia="zh-CN" w:bidi="ar"/>
              </w:rPr>
            </w:pPr>
          </w:p>
        </w:tc>
        <w:tc>
          <w:tcPr>
            <w:tcW w:w="2753"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kern w:val="0"/>
                <w:sz w:val="24"/>
                <w:szCs w:val="24"/>
                <w:lang w:val="en-US" w:eastAsia="zh-CN" w:bidi="ar"/>
              </w:rPr>
            </w:pPr>
            <w:r>
              <w:rPr>
                <w:rFonts w:hint="eastAsia" w:asciiTheme="majorEastAsia" w:hAnsiTheme="majorEastAsia" w:eastAsiaTheme="majorEastAsia" w:cstheme="majorEastAsia"/>
                <w:color w:val="000000"/>
                <w:kern w:val="0"/>
                <w:sz w:val="24"/>
                <w:szCs w:val="24"/>
                <w:lang w:val="en-US" w:eastAsia="zh-CN" w:bidi="ar"/>
              </w:rPr>
              <w:t>结束学时</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r>
              <w:rPr>
                <w:rFonts w:hint="eastAsia" w:asciiTheme="majorEastAsia" w:hAnsiTheme="majorEastAsia" w:eastAsiaTheme="majorEastAsia" w:cstheme="majorEastAsia"/>
                <w:color w:val="000000"/>
                <w:kern w:val="0"/>
                <w:sz w:val="24"/>
                <w:szCs w:val="24"/>
                <w:lang w:val="en-US" w:eastAsia="zh-CN" w:bidi="ar"/>
              </w:rPr>
              <w:t xml:space="preserve"> ( 第几学时 )</w:t>
            </w:r>
          </w:p>
        </w:tc>
        <w:tc>
          <w:tcPr>
            <w:tcW w:w="277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ajorEastAsia" w:hAnsiTheme="majorEastAsia" w:eastAsiaTheme="majorEastAsia" w:cstheme="majorEastAsia"/>
                <w:spacing w:val="-9"/>
                <w:kern w:val="2"/>
                <w:sz w:val="24"/>
                <w:szCs w:val="24"/>
                <w:highlight w:val="none"/>
                <w:vertAlign w:val="baseline"/>
                <w:lang w:val="en-US" w:eastAsia="zh-CN" w:bidi="zh-CN"/>
              </w:rPr>
            </w:pPr>
          </w:p>
        </w:tc>
      </w:tr>
    </w:tbl>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注：该表由团队负责人填写。</w:t>
      </w: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default"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both"/>
        <w:textAlignment w:val="auto"/>
        <w:rPr>
          <w:rFonts w:hint="eastAsia" w:ascii="方正黑体_GBK" w:hAnsi="方正黑体_GBK" w:eastAsia="方正黑体_GBK" w:cs="方正黑体_GBK"/>
          <w:b/>
          <w:bCs/>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600" w:lineRule="exact"/>
        <w:ind w:left="0" w:leftChars="0" w:right="1123" w:firstLine="0" w:firstLineChars="0"/>
        <w:jc w:val="both"/>
        <w:textAlignment w:val="auto"/>
        <w:rPr>
          <w:rStyle w:val="20"/>
          <w:rFonts w:hint="eastAsia" w:ascii="方正黑体_GBK" w:hAnsi="方正黑体_GBK" w:eastAsia="方正黑体_GBK" w:cs="方正黑体_GBK"/>
          <w:b w:val="0"/>
          <w:bCs w:val="0"/>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81" w:line="600" w:lineRule="exact"/>
        <w:ind w:left="0" w:leftChars="0" w:right="1123" w:firstLine="0" w:firstLineChars="0"/>
        <w:jc w:val="both"/>
        <w:textAlignment w:val="auto"/>
        <w:rPr>
          <w:rStyle w:val="20"/>
          <w:rFonts w:hint="eastAsia" w:ascii="方正黑体_GBK" w:hAnsi="方正黑体_GBK" w:eastAsia="方正黑体_GBK" w:cs="方正黑体_GBK"/>
          <w:b w:val="0"/>
          <w:bCs w:val="0"/>
          <w:sz w:val="32"/>
          <w:szCs w:val="32"/>
          <w:lang w:val="en-US" w:eastAsia="zh-CN"/>
        </w:rPr>
      </w:pPr>
      <w:r>
        <w:rPr>
          <w:rStyle w:val="20"/>
          <w:rFonts w:hint="eastAsia" w:ascii="方正黑体_GBK" w:hAnsi="方正黑体_GBK" w:eastAsia="方正黑体_GBK" w:cs="方正黑体_GBK"/>
          <w:b w:val="0"/>
          <w:bCs w:val="0"/>
          <w:sz w:val="32"/>
          <w:szCs w:val="32"/>
          <w:lang w:val="en-US" w:eastAsia="zh-CN"/>
        </w:rPr>
        <w:t>附件4</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20"/>
          <w:rFonts w:hint="default" w:ascii="方正小标宋_GBK" w:hAnsi="方正小标宋_GBK" w:eastAsia="方正小标宋_GBK" w:cs="方正小标宋_GBK"/>
          <w:b w:val="0"/>
          <w:bCs w:val="0"/>
          <w:kern w:val="2"/>
          <w:sz w:val="36"/>
          <w:szCs w:val="36"/>
          <w:lang w:val="en-US" w:eastAsia="zh-CN" w:bidi="ar-SA"/>
        </w:rPr>
      </w:pPr>
      <w:r>
        <w:rPr>
          <w:rStyle w:val="20"/>
          <w:rFonts w:hint="eastAsia" w:ascii="方正小标宋_GBK" w:hAnsi="方正小标宋_GBK" w:eastAsia="方正小标宋_GBK" w:cs="方正小标宋_GBK"/>
          <w:b w:val="0"/>
          <w:bCs w:val="0"/>
          <w:kern w:val="2"/>
          <w:sz w:val="36"/>
          <w:szCs w:val="36"/>
          <w:lang w:val="en-US" w:eastAsia="zh-CN" w:bidi="ar-SA"/>
        </w:rPr>
        <w:t>第五届教师教学能力大赛参赛教师基本信息</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793"/>
        <w:gridCol w:w="627"/>
        <w:gridCol w:w="710"/>
        <w:gridCol w:w="1420"/>
        <w:gridCol w:w="710"/>
        <w:gridCol w:w="710"/>
        <w:gridCol w:w="710"/>
        <w:gridCol w:w="71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03"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所属系</w:t>
            </w:r>
          </w:p>
        </w:tc>
        <w:tc>
          <w:tcPr>
            <w:tcW w:w="133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p>
        </w:tc>
        <w:tc>
          <w:tcPr>
            <w:tcW w:w="2840"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所属教研室</w:t>
            </w:r>
          </w:p>
        </w:tc>
        <w:tc>
          <w:tcPr>
            <w:tcW w:w="284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姓名</w:t>
            </w:r>
          </w:p>
        </w:tc>
        <w:tc>
          <w:tcPr>
            <w:tcW w:w="14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p>
        </w:tc>
        <w:tc>
          <w:tcPr>
            <w:tcW w:w="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性别</w:t>
            </w:r>
          </w:p>
        </w:tc>
        <w:tc>
          <w:tcPr>
            <w:tcW w:w="142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p>
        </w:tc>
        <w:tc>
          <w:tcPr>
            <w:tcW w:w="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民族</w:t>
            </w:r>
          </w:p>
        </w:tc>
        <w:tc>
          <w:tcPr>
            <w:tcW w:w="14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p>
        </w:tc>
        <w:tc>
          <w:tcPr>
            <w:tcW w:w="7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教龄</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03"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身份证号</w:t>
            </w:r>
          </w:p>
        </w:tc>
        <w:tc>
          <w:tcPr>
            <w:tcW w:w="2757"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p>
        </w:tc>
        <w:tc>
          <w:tcPr>
            <w:tcW w:w="14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联系电话</w:t>
            </w:r>
          </w:p>
        </w:tc>
        <w:tc>
          <w:tcPr>
            <w:tcW w:w="284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03"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r>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t>职务</w:t>
            </w:r>
          </w:p>
        </w:tc>
        <w:tc>
          <w:tcPr>
            <w:tcW w:w="7019" w:type="dxa"/>
            <w:gridSpan w:val="8"/>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r>
              <w:rPr>
                <w:rFonts w:hint="eastAsia" w:asciiTheme="minorEastAsia" w:hAnsiTheme="minorEastAsia" w:eastAsiaTheme="minorEastAsia" w:cstheme="minorEastAsia"/>
                <w:color w:val="000000"/>
                <w:kern w:val="0"/>
                <w:sz w:val="24"/>
                <w:szCs w:val="24"/>
                <w:lang w:val="en-US" w:eastAsia="zh-CN" w:bidi="ar"/>
              </w:rPr>
              <w:t xml:space="preserve">□ 普通教师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 教研室负责人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 系部负责人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p>
        </w:tc>
        <w:tc>
          <w:tcPr>
            <w:tcW w:w="7019" w:type="dxa"/>
            <w:gridSpan w:val="8"/>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r>
              <w:rPr>
                <w:rFonts w:hint="eastAsia" w:asciiTheme="minorEastAsia" w:hAnsiTheme="minorEastAsia" w:eastAsiaTheme="minorEastAsia" w:cstheme="minorEastAsia"/>
                <w:color w:val="000000"/>
                <w:kern w:val="0"/>
                <w:sz w:val="24"/>
                <w:szCs w:val="24"/>
                <w:lang w:val="en-US" w:eastAsia="zh-CN" w:bidi="ar"/>
              </w:rPr>
              <w:t xml:space="preserve">□ 未定级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初级</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 □ 中级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副高</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 □ 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03"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r>
              <w:rPr>
                <w:rFonts w:hint="eastAsia" w:asciiTheme="minorEastAsia" w:hAnsiTheme="minorEastAsia" w:eastAsiaTheme="minorEastAsia" w:cstheme="minorEastAsia"/>
                <w:color w:val="000000"/>
                <w:kern w:val="0"/>
                <w:sz w:val="24"/>
                <w:szCs w:val="24"/>
                <w:lang w:val="en-US" w:eastAsia="zh-CN" w:bidi="ar"/>
              </w:rPr>
              <w:t>学历</w:t>
            </w:r>
          </w:p>
        </w:tc>
        <w:tc>
          <w:tcPr>
            <w:tcW w:w="7019" w:type="dxa"/>
            <w:gridSpan w:val="8"/>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r>
              <w:rPr>
                <w:rFonts w:hint="eastAsia" w:asciiTheme="minorEastAsia" w:hAnsiTheme="minorEastAsia" w:eastAsiaTheme="minorEastAsia" w:cstheme="minorEastAsia"/>
                <w:color w:val="000000"/>
                <w:kern w:val="0"/>
                <w:sz w:val="24"/>
                <w:szCs w:val="24"/>
                <w:lang w:val="en-US" w:eastAsia="zh-CN" w:bidi="ar"/>
              </w:rPr>
              <w:t xml:space="preserve">□ 大专及以下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本科</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 □ 硕士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503"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r>
              <w:rPr>
                <w:rFonts w:hint="eastAsia" w:asciiTheme="minorEastAsia" w:hAnsiTheme="minorEastAsia" w:eastAsiaTheme="minorEastAsia" w:cstheme="minorEastAsia"/>
                <w:color w:val="000000"/>
                <w:kern w:val="0"/>
                <w:sz w:val="24"/>
                <w:szCs w:val="24"/>
                <w:lang w:val="en-US" w:eastAsia="zh-CN" w:bidi="ar"/>
              </w:rPr>
              <w:t>身份</w:t>
            </w:r>
          </w:p>
        </w:tc>
        <w:tc>
          <w:tcPr>
            <w:tcW w:w="7019" w:type="dxa"/>
            <w:gridSpan w:val="8"/>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r>
              <w:rPr>
                <w:rFonts w:hint="eastAsia" w:asciiTheme="minorEastAsia" w:hAnsiTheme="minorEastAsia" w:eastAsiaTheme="minorEastAsia" w:cstheme="minorEastAsia"/>
                <w:color w:val="000000"/>
                <w:kern w:val="0"/>
                <w:sz w:val="24"/>
                <w:szCs w:val="24"/>
                <w:lang w:val="en-US" w:eastAsia="zh-CN" w:bidi="ar"/>
              </w:rPr>
              <w:t>□ 在职教师</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 □ 企业兼职教师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03"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r>
              <w:rPr>
                <w:rFonts w:hint="eastAsia" w:asciiTheme="minorEastAsia" w:hAnsiTheme="minorEastAsia" w:eastAsiaTheme="minorEastAsia" w:cstheme="minorEastAsia"/>
                <w:color w:val="000000"/>
                <w:kern w:val="0"/>
                <w:sz w:val="24"/>
                <w:szCs w:val="24"/>
                <w:lang w:val="en-US" w:eastAsia="zh-CN" w:bidi="ar"/>
              </w:rPr>
              <w:t>职业资格</w:t>
            </w:r>
          </w:p>
        </w:tc>
        <w:tc>
          <w:tcPr>
            <w:tcW w:w="7019" w:type="dxa"/>
            <w:gridSpan w:val="8"/>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r>
              <w:rPr>
                <w:rFonts w:hint="eastAsia" w:asciiTheme="minorEastAsia" w:hAnsiTheme="minorEastAsia" w:cstheme="minorEastAsia"/>
                <w:color w:val="000000"/>
                <w:kern w:val="0"/>
                <w:sz w:val="24"/>
                <w:szCs w:val="24"/>
                <w:lang w:val="en-US" w:eastAsia="zh-CN" w:bidi="ar"/>
              </w:rPr>
              <w:t>□</w:t>
            </w:r>
            <w:r>
              <w:rPr>
                <w:rFonts w:hint="eastAsia" w:asciiTheme="minorEastAsia" w:hAnsiTheme="minorEastAsia" w:eastAsiaTheme="minorEastAsia" w:cstheme="minorEastAsia"/>
                <w:color w:val="000000"/>
                <w:kern w:val="0"/>
                <w:sz w:val="24"/>
                <w:szCs w:val="24"/>
                <w:lang w:val="en-US" w:eastAsia="zh-CN" w:bidi="ar"/>
              </w:rPr>
              <w:t xml:space="preserve"> 高级技师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高级职业技能等级证书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840"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r>
              <w:rPr>
                <w:rFonts w:hint="eastAsia" w:asciiTheme="minorEastAsia" w:hAnsiTheme="minorEastAsia" w:eastAsiaTheme="minorEastAsia" w:cstheme="minorEastAsia"/>
                <w:color w:val="000000"/>
                <w:kern w:val="0"/>
                <w:sz w:val="24"/>
                <w:szCs w:val="24"/>
                <w:lang w:val="en-US" w:eastAsia="zh-CN" w:bidi="ar"/>
              </w:rPr>
              <w:t>承担具体教学任务</w:t>
            </w:r>
          </w:p>
        </w:tc>
        <w:tc>
          <w:tcPr>
            <w:tcW w:w="5682" w:type="dxa"/>
            <w:gridSpan w:val="6"/>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Style w:val="20"/>
                <w:rFonts w:hint="eastAsia" w:asciiTheme="minorEastAsia" w:hAnsiTheme="minorEastAsia" w:eastAsiaTheme="minorEastAsia" w:cstheme="minorEastAsia"/>
                <w:spacing w:val="-9"/>
                <w:kern w:val="2"/>
                <w:sz w:val="24"/>
                <w:szCs w:val="24"/>
                <w:highlight w:val="none"/>
                <w:vertAlign w:val="baseline"/>
                <w:lang w:val="en-US" w:eastAsia="zh-CN" w:bidi="zh-CN"/>
              </w:rPr>
            </w:pPr>
          </w:p>
        </w:tc>
      </w:tr>
    </w:tbl>
    <w:p>
      <w:pPr>
        <w:pStyle w:val="3"/>
        <w:keepNext w:val="0"/>
        <w:keepLines w:val="0"/>
        <w:pageBreakBefore w:val="0"/>
        <w:widowControl w:val="0"/>
        <w:kinsoku/>
        <w:wordWrap/>
        <w:overflowPunct/>
        <w:topLinePunct w:val="0"/>
        <w:autoSpaceDE w:val="0"/>
        <w:autoSpaceDN w:val="0"/>
        <w:bidi w:val="0"/>
        <w:adjustRightInd/>
        <w:snapToGrid/>
        <w:spacing w:before="81" w:line="360" w:lineRule="exact"/>
        <w:ind w:left="0" w:leftChars="0" w:right="1123" w:firstLine="0" w:firstLineChars="0"/>
        <w:jc w:val="left"/>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注：该表每位参赛教师均需填写。</w:t>
      </w:r>
    </w:p>
    <w:p>
      <w:pPr>
        <w:keepNext w:val="0"/>
        <w:keepLines w:val="0"/>
        <w:widowControl/>
        <w:suppressLineNumbers w:val="0"/>
        <w:ind w:firstLine="604" w:firstLineChars="200"/>
        <w:jc w:val="left"/>
        <w:rPr>
          <w:rStyle w:val="20"/>
          <w:rFonts w:hint="default" w:ascii="方正仿宋_GBK" w:hAnsi="方正仿宋_GBK" w:eastAsia="方正仿宋_GBK" w:cs="方正仿宋_GBK"/>
          <w:spacing w:val="-9"/>
          <w:kern w:val="2"/>
          <w:sz w:val="32"/>
          <w:szCs w:val="32"/>
          <w:highlight w:val="none"/>
          <w:lang w:val="en-US" w:eastAsia="zh-CN" w:bidi="zh-CN"/>
        </w:rPr>
      </w:pPr>
    </w:p>
    <w:p>
      <w:pPr>
        <w:keepNext w:val="0"/>
        <w:keepLines w:val="0"/>
        <w:widowControl/>
        <w:suppressLineNumbers w:val="0"/>
        <w:ind w:firstLine="604" w:firstLineChars="200"/>
        <w:jc w:val="left"/>
        <w:rPr>
          <w:rStyle w:val="20"/>
          <w:rFonts w:hint="eastAsia" w:ascii="方正仿宋_GBK" w:hAnsi="方正仿宋_GBK" w:eastAsia="方正仿宋_GBK" w:cs="方正仿宋_GBK"/>
          <w:spacing w:val="-9"/>
          <w:kern w:val="2"/>
          <w:sz w:val="32"/>
          <w:szCs w:val="32"/>
          <w:highlight w:val="none"/>
          <w:lang w:val="en-US" w:eastAsia="zh-CN" w:bidi="zh-CN"/>
        </w:rPr>
      </w:pPr>
    </w:p>
    <w:sectPr>
      <w:headerReference r:id="rId3" w:type="default"/>
      <w:footerReference r:id="rId4"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15" w:leftChars="150" w:right="315" w:rightChars="150"/>
      <w:rPr>
        <w:rStyle w:val="13"/>
        <w:rFonts w:ascii="宋体" w:hAnsi="宋体" w:eastAsia="宋体"/>
        <w:sz w:val="28"/>
        <w:szCs w:val="28"/>
      </w:rPr>
    </w:pPr>
    <w:r>
      <w:rPr>
        <w:rStyle w:val="13"/>
        <w:rFonts w:ascii="宋体" w:hAnsi="宋体" w:eastAsia="宋体"/>
        <w:sz w:val="28"/>
        <w:szCs w:val="28"/>
      </w:rPr>
      <w:t xml:space="preserve">— </w:t>
    </w: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2</w:t>
    </w:r>
    <w:r>
      <w:rPr>
        <w:rStyle w:val="13"/>
        <w:rFonts w:ascii="宋体" w:hAnsi="宋体" w:eastAsia="宋体"/>
        <w:sz w:val="28"/>
        <w:szCs w:val="28"/>
      </w:rPr>
      <w:fldChar w:fldCharType="end"/>
    </w:r>
    <w:r>
      <w:rPr>
        <w:rStyle w:val="13"/>
        <w:rFonts w:ascii="宋体" w:hAnsi="宋体" w:eastAsia="宋体"/>
        <w:sz w:val="28"/>
        <w:szCs w:val="28"/>
      </w:rPr>
      <w:t xml:space="preserve"> —</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B3367"/>
    <w:multiLevelType w:val="singleLevel"/>
    <w:tmpl w:val="9FCB3367"/>
    <w:lvl w:ilvl="0" w:tentative="0">
      <w:start w:val="1"/>
      <w:numFmt w:val="decimal"/>
      <w:lvlText w:val="%1."/>
      <w:lvlJc w:val="left"/>
      <w:pPr>
        <w:tabs>
          <w:tab w:val="left" w:pos="312"/>
        </w:tabs>
      </w:pPr>
    </w:lvl>
  </w:abstractNum>
  <w:abstractNum w:abstractNumId="1">
    <w:nsid w:val="C202E202"/>
    <w:multiLevelType w:val="singleLevel"/>
    <w:tmpl w:val="C202E20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850433"/>
    <w:rsid w:val="0008221B"/>
    <w:rsid w:val="001B320E"/>
    <w:rsid w:val="006D20D9"/>
    <w:rsid w:val="006D63EE"/>
    <w:rsid w:val="00704CE8"/>
    <w:rsid w:val="00850433"/>
    <w:rsid w:val="00962901"/>
    <w:rsid w:val="00BB6912"/>
    <w:rsid w:val="00C258B1"/>
    <w:rsid w:val="00C86D17"/>
    <w:rsid w:val="00F36D8E"/>
    <w:rsid w:val="01E05C3E"/>
    <w:rsid w:val="03C62474"/>
    <w:rsid w:val="08A65D3D"/>
    <w:rsid w:val="091C1F75"/>
    <w:rsid w:val="0EAC304A"/>
    <w:rsid w:val="11681ACC"/>
    <w:rsid w:val="131320DA"/>
    <w:rsid w:val="132F7A94"/>
    <w:rsid w:val="13622204"/>
    <w:rsid w:val="150A66AF"/>
    <w:rsid w:val="16904B5A"/>
    <w:rsid w:val="17403B2F"/>
    <w:rsid w:val="19112D11"/>
    <w:rsid w:val="193C3833"/>
    <w:rsid w:val="1C8206F9"/>
    <w:rsid w:val="232272BA"/>
    <w:rsid w:val="237276E9"/>
    <w:rsid w:val="237E289D"/>
    <w:rsid w:val="245E07D1"/>
    <w:rsid w:val="29B175E9"/>
    <w:rsid w:val="2CB8206C"/>
    <w:rsid w:val="32AA5585"/>
    <w:rsid w:val="36C946C7"/>
    <w:rsid w:val="37A2008D"/>
    <w:rsid w:val="39D62FB9"/>
    <w:rsid w:val="3A14459A"/>
    <w:rsid w:val="3A833DAD"/>
    <w:rsid w:val="3B666687"/>
    <w:rsid w:val="3C141E85"/>
    <w:rsid w:val="3C767734"/>
    <w:rsid w:val="3E1C6528"/>
    <w:rsid w:val="3FD67B56"/>
    <w:rsid w:val="40BC5991"/>
    <w:rsid w:val="42E13B12"/>
    <w:rsid w:val="44AE7DA0"/>
    <w:rsid w:val="4530540F"/>
    <w:rsid w:val="4594797F"/>
    <w:rsid w:val="465D2233"/>
    <w:rsid w:val="46DD0621"/>
    <w:rsid w:val="49AD17FC"/>
    <w:rsid w:val="4C0841B3"/>
    <w:rsid w:val="4C7D5564"/>
    <w:rsid w:val="4D241B60"/>
    <w:rsid w:val="4DEE0A16"/>
    <w:rsid w:val="4DF30607"/>
    <w:rsid w:val="4ECF3EEA"/>
    <w:rsid w:val="4EE56A9D"/>
    <w:rsid w:val="51764921"/>
    <w:rsid w:val="51F60F2F"/>
    <w:rsid w:val="557F15CD"/>
    <w:rsid w:val="579E7420"/>
    <w:rsid w:val="590E331C"/>
    <w:rsid w:val="598A53A1"/>
    <w:rsid w:val="598C3F27"/>
    <w:rsid w:val="59AE3E23"/>
    <w:rsid w:val="5A531B77"/>
    <w:rsid w:val="5C14521D"/>
    <w:rsid w:val="5C656B18"/>
    <w:rsid w:val="5DC12AF6"/>
    <w:rsid w:val="60885CA7"/>
    <w:rsid w:val="609B6233"/>
    <w:rsid w:val="62553856"/>
    <w:rsid w:val="64CB07B5"/>
    <w:rsid w:val="65D847CD"/>
    <w:rsid w:val="6762568B"/>
    <w:rsid w:val="68394038"/>
    <w:rsid w:val="68C9017F"/>
    <w:rsid w:val="6A984F25"/>
    <w:rsid w:val="6EFB6C43"/>
    <w:rsid w:val="706A4A5C"/>
    <w:rsid w:val="735A0A2B"/>
    <w:rsid w:val="758000A0"/>
    <w:rsid w:val="75F55735"/>
    <w:rsid w:val="766A125F"/>
    <w:rsid w:val="77A92C84"/>
    <w:rsid w:val="79450C8E"/>
    <w:rsid w:val="7A1E6D40"/>
    <w:rsid w:val="7A9150D7"/>
    <w:rsid w:val="7A94551C"/>
    <w:rsid w:val="7B8F5749"/>
    <w:rsid w:val="7F850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235"/>
      <w:ind w:right="206"/>
      <w:jc w:val="center"/>
      <w:outlineLvl w:val="1"/>
    </w:pPr>
    <w:rPr>
      <w:rFonts w:ascii="宋体" w:hAnsi="宋体" w:eastAsia="宋体" w:cs="宋体"/>
      <w:sz w:val="44"/>
      <w:szCs w:val="44"/>
      <w:lang w:val="zh-CN" w:eastAsia="zh-CN" w:bidi="zh-CN"/>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pPr>
      <w:spacing w:after="120"/>
    </w:p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w:basedOn w:val="4"/>
    <w:unhideWhenUsed/>
    <w:qFormat/>
    <w:uiPriority w:val="99"/>
    <w:pPr>
      <w:ind w:firstLine="420" w:firstLineChars="100"/>
    </w:pPr>
  </w:style>
  <w:style w:type="table" w:styleId="11">
    <w:name w:val="Table Grid"/>
    <w:basedOn w:val="10"/>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page number"/>
    <w:basedOn w:val="12"/>
    <w:semiHidden/>
    <w:unhideWhenUsed/>
    <w:qFormat/>
    <w:uiPriority w:val="99"/>
  </w:style>
  <w:style w:type="character" w:styleId="14">
    <w:name w:val="Hyperlink"/>
    <w:basedOn w:val="12"/>
    <w:qFormat/>
    <w:uiPriority w:val="0"/>
    <w:rPr>
      <w:color w:val="0000FF"/>
      <w:u w:val="single"/>
    </w:rPr>
  </w:style>
  <w:style w:type="paragraph" w:customStyle="1" w:styleId="15">
    <w:name w:val="正文2"/>
    <w:basedOn w:val="1"/>
    <w:next w:val="1"/>
    <w:qFormat/>
    <w:uiPriority w:val="0"/>
  </w:style>
  <w:style w:type="character" w:customStyle="1" w:styleId="16">
    <w:name w:val="页眉 Char"/>
    <w:basedOn w:val="12"/>
    <w:link w:val="7"/>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批注框文本 Char"/>
    <w:basedOn w:val="12"/>
    <w:link w:val="5"/>
    <w:semiHidden/>
    <w:qFormat/>
    <w:uiPriority w:val="99"/>
    <w:rPr>
      <w:sz w:val="18"/>
      <w:szCs w:val="18"/>
    </w:rPr>
  </w:style>
  <w:style w:type="character" w:customStyle="1" w:styleId="19">
    <w:name w:val="font01"/>
    <w:basedOn w:val="12"/>
    <w:qFormat/>
    <w:uiPriority w:val="0"/>
    <w:rPr>
      <w:rFonts w:hint="eastAsia" w:ascii="宋体" w:hAnsi="宋体" w:eastAsia="宋体" w:cs="宋体"/>
      <w:color w:val="000000"/>
      <w:sz w:val="24"/>
      <w:szCs w:val="24"/>
      <w:u w:val="none"/>
    </w:rPr>
  </w:style>
  <w:style w:type="character" w:customStyle="1" w:styleId="20">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styleId="21">
    <w:name w:val="List Paragraph"/>
    <w:basedOn w:val="1"/>
    <w:qFormat/>
    <w:uiPriority w:val="1"/>
    <w:pPr>
      <w:spacing w:before="190"/>
      <w:ind w:left="209" w:firstLine="640"/>
    </w:pPr>
    <w:rPr>
      <w:rFonts w:ascii="仿宋_GB2312" w:hAnsi="仿宋_GB2312" w:eastAsia="仿宋_GB2312" w:cs="仿宋_GB2312"/>
      <w:lang w:val="zh-CN" w:eastAsia="zh-CN" w:bidi="zh-CN"/>
    </w:rPr>
  </w:style>
  <w:style w:type="paragraph" w:customStyle="1" w:styleId="22">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user</Company>
  <Pages>1</Pages>
  <Words>119</Words>
  <Characters>125</Characters>
  <Lines>1</Lines>
  <Paragraphs>1</Paragraphs>
  <TotalTime>1</TotalTime>
  <ScaleCrop>false</ScaleCrop>
  <LinksUpToDate>false</LinksUpToDate>
  <CharactersWithSpaces>221</CharactersWithSpaces>
  <Application>WPS Office_11.8.6.11830_F1E327BC-269C-435d-A152-05C5408002CA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2019-12-05T03:19:00Z</dcterms:created>
  <dc:creator>蒋丽萍</dc:creator>
  <cp:lastModifiedBy>杨萌</cp:lastModifiedBy>
  <cp:lastPrinted>2019-12-25T06:59:00Z</cp:lastPrinted>
  <dcterms:modified xsi:type="dcterms:W3CDTF">2024-04-03T11:35:59Z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2052-11.8.6.11830</vt:lpwstr>
  </property>
  <property fmtid="{D5CDD505-2E9C-101B-9397-08002B2CF9AE}" pid="3" name="KSOSaveFontToCloudKey">
    <vt:lpwstr>380373839_cloud</vt:lpwstr>
  </property>
  <property fmtid="{D5CDD505-2E9C-101B-9397-08002B2CF9AE}" pid="4" name="ICV">
    <vt:lpwstr>90ED5467690946F49FCCD442E68BD75D</vt:lpwstr>
  </property>
</Properties>
</file>